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ED" w:rsidRPr="005E58C4" w:rsidRDefault="001943C5" w:rsidP="00EF43D9">
      <w:pPr>
        <w:pStyle w:val="a4"/>
        <w:spacing w:line="240" w:lineRule="auto"/>
        <w:rPr>
          <w:lang w:val="ru-RU"/>
        </w:rPr>
      </w:pPr>
      <w:r>
        <w:rPr>
          <w:lang w:val="ru-RU"/>
        </w:rPr>
        <w:t>информационный бюллетень</w:t>
      </w:r>
    </w:p>
    <w:p w:rsidR="009F05ED" w:rsidRPr="005E58C4" w:rsidRDefault="001943C5">
      <w:pPr>
        <w:pStyle w:val="a6"/>
        <w:rPr>
          <w:lang w:val="ru-RU"/>
        </w:rPr>
      </w:pPr>
      <w:r>
        <w:rPr>
          <w:lang w:val="ru-RU"/>
        </w:rPr>
        <w:t>октябрь 2020 года</w:t>
      </w:r>
    </w:p>
    <w:p w:rsidR="009F05ED" w:rsidRPr="005E58C4" w:rsidRDefault="001943C5">
      <w:pPr>
        <w:pStyle w:val="1"/>
        <w:rPr>
          <w:lang w:val="ru-RU"/>
        </w:rPr>
      </w:pPr>
      <w:r w:rsidRPr="001943C5">
        <w:rPr>
          <w:lang w:val="ru-RU"/>
        </w:rPr>
        <w:t>Реформа законодательства о ККТ</w:t>
      </w:r>
    </w:p>
    <w:p w:rsidR="001943C5" w:rsidRPr="001943C5" w:rsidRDefault="001943C5" w:rsidP="001943C5">
      <w:pPr>
        <w:rPr>
          <w:lang w:val="ru-RU"/>
        </w:rPr>
      </w:pPr>
      <w:r w:rsidRPr="001943C5">
        <w:rPr>
          <w:lang w:val="ru-RU"/>
        </w:rPr>
        <w:t>Минфином России в соответствии с поручением Правительства Российской Федерации от 13.02.2020 N ММ-П14-821 разработан проект федерального закона "О внесении изменений в части первую и вторую Налогового кодекса Российской Федерации".</w:t>
      </w:r>
    </w:p>
    <w:p w:rsidR="001943C5" w:rsidRPr="001943C5" w:rsidRDefault="001943C5" w:rsidP="001943C5">
      <w:pPr>
        <w:rPr>
          <w:lang w:val="ru-RU"/>
        </w:rPr>
      </w:pPr>
      <w:r w:rsidRPr="001943C5">
        <w:rPr>
          <w:lang w:val="ru-RU"/>
        </w:rPr>
        <w:t>Цель нововведений - интеграция законодательства Российской Федерации о применении контрольно-кассовой техники в НК РФ (см. письмо ФНС России от 28.02.2020 N АБ-18-20/222@).</w:t>
      </w:r>
    </w:p>
    <w:p w:rsidR="001943C5" w:rsidRPr="001943C5" w:rsidRDefault="001943C5" w:rsidP="001943C5">
      <w:pPr>
        <w:rPr>
          <w:lang w:val="ru-RU"/>
        </w:rPr>
      </w:pPr>
      <w:r w:rsidRPr="001943C5">
        <w:rPr>
          <w:lang w:val="ru-RU"/>
        </w:rPr>
        <w:t>Тем самым, последствием реформы будет перемещение норм утрачивающего силу Федерального закона N 54-ФЗ вместе с рядом иных правил в первую часть НК РФ (см. также Новости от 23.07.2020 "Реформа законодательства о ККТ: переезд в НК РФ, фиксация расчетов и оперативные налоговые проверки").</w:t>
      </w:r>
    </w:p>
    <w:p w:rsidR="009F05ED" w:rsidRPr="005E58C4" w:rsidRDefault="001943C5" w:rsidP="001943C5">
      <w:pPr>
        <w:rPr>
          <w:lang w:val="ru-RU"/>
        </w:rPr>
      </w:pPr>
      <w:r w:rsidRPr="001943C5">
        <w:rPr>
          <w:lang w:val="ru-RU"/>
        </w:rPr>
        <w:t>Поскольку вступление в силу новой редакции НК РФ запланировано с января 2021 года, времени на прохождение законопроектом всех этапов нормотворчества осталось не так и много. Ведь после каникул первое пленарное заседание осенней сессии ГД РФ запланировано на 10 сентября, а до конца ноября одобренный СФ и подписанный Президентом РФ закон уже должен быть опубликован.</w:t>
      </w:r>
    </w:p>
    <w:p w:rsidR="001943C5" w:rsidRPr="001943C5" w:rsidRDefault="00CC43C2" w:rsidP="001943C5">
      <w:pPr>
        <w:pStyle w:val="ac"/>
        <w:rPr>
          <w:lang w:val="ru-RU"/>
        </w:rPr>
      </w:pPr>
      <w:r>
        <w:rPr>
          <w:lang w:val="ru-RU"/>
        </w:rPr>
        <w:t>«</w:t>
      </w:r>
      <w:r w:rsidR="001943C5" w:rsidRPr="001943C5">
        <w:rPr>
          <w:lang w:val="ru-RU"/>
        </w:rPr>
        <w:t>Минфином России в соответствии с поручением Правительства Российской Федерации от 13.02.2020 N ММ-П14-821 разработан проект федерального закона "О внесении изменений в части первую и вторую Налогового кодекса Российской Федерации"</w:t>
      </w:r>
      <w:r>
        <w:rPr>
          <w:lang w:val="ru-RU"/>
        </w:rPr>
        <w:t>»</w:t>
      </w:r>
    </w:p>
    <w:p w:rsidR="00E221D7" w:rsidRPr="00E221D7" w:rsidRDefault="00E221D7" w:rsidP="00E221D7">
      <w:pPr>
        <w:rPr>
          <w:noProof/>
          <w:lang w:val="ru-RU"/>
        </w:rPr>
      </w:pPr>
      <w:r w:rsidRPr="00E221D7">
        <w:rPr>
          <w:noProof/>
          <w:lang w:val="ru-RU"/>
        </w:rPr>
        <w:t>Рассмотрим основные положения законопроекта:</w:t>
      </w:r>
    </w:p>
    <w:p w:rsidR="00E221D7" w:rsidRPr="00E221D7" w:rsidRDefault="00E221D7" w:rsidP="00E221D7">
      <w:pPr>
        <w:pStyle w:val="af5"/>
        <w:numPr>
          <w:ilvl w:val="0"/>
          <w:numId w:val="1"/>
        </w:numPr>
        <w:rPr>
          <w:noProof/>
          <w:lang w:val="ru-RU"/>
        </w:rPr>
      </w:pPr>
      <w:r w:rsidRPr="00E221D7">
        <w:rPr>
          <w:noProof/>
          <w:lang w:val="ru-RU"/>
        </w:rPr>
        <w:t>Вводится новый термин "фиксация расчетов", принципы которой устанавливаются НК РФ. Ее осуществление является обязанностью налогоплательщиков. Фиксация расчетов - действия, совершаемые организацией или индивидуальным предпринимателем с использованием средств автоматизации:</w:t>
      </w:r>
    </w:p>
    <w:p w:rsidR="00E221D7" w:rsidRPr="00E221D7" w:rsidRDefault="00E221D7" w:rsidP="00E221D7">
      <w:pPr>
        <w:pStyle w:val="af5"/>
        <w:numPr>
          <w:ilvl w:val="0"/>
          <w:numId w:val="3"/>
        </w:numPr>
        <w:rPr>
          <w:noProof/>
          <w:lang w:val="ru-RU"/>
        </w:rPr>
      </w:pPr>
      <w:r w:rsidRPr="00E221D7">
        <w:rPr>
          <w:noProof/>
          <w:lang w:val="ru-RU"/>
        </w:rPr>
        <w:t>по формированию фискальных документов в фискальном накопителе с применением контрольно-кассовой техники;</w:t>
      </w:r>
    </w:p>
    <w:p w:rsidR="00E221D7" w:rsidRPr="00E221D7" w:rsidRDefault="00E221D7" w:rsidP="00E221D7">
      <w:pPr>
        <w:pStyle w:val="af5"/>
        <w:numPr>
          <w:ilvl w:val="0"/>
          <w:numId w:val="3"/>
        </w:numPr>
        <w:rPr>
          <w:noProof/>
          <w:lang w:val="ru-RU"/>
        </w:rPr>
      </w:pPr>
      <w:r w:rsidRPr="00E221D7">
        <w:rPr>
          <w:noProof/>
          <w:lang w:val="ru-RU"/>
        </w:rPr>
        <w:t>по формированию расчетных чеков в информационном ресурсе,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w:t>
      </w:r>
    </w:p>
    <w:p w:rsidR="00E221D7" w:rsidRDefault="00E221D7" w:rsidP="0026410D">
      <w:pPr>
        <w:pStyle w:val="af5"/>
        <w:numPr>
          <w:ilvl w:val="0"/>
          <w:numId w:val="1"/>
        </w:numPr>
        <w:rPr>
          <w:noProof/>
          <w:lang w:val="ru-RU"/>
        </w:rPr>
      </w:pPr>
      <w:r w:rsidRPr="00E221D7">
        <w:rPr>
          <w:noProof/>
          <w:lang w:val="ru-RU"/>
        </w:rPr>
        <w:t>К правам налоговых органов статьей 31 НК РФ отнесен контроль за фиксацией расчетов, передачей фискальных документов в налоговый орган через оператора фискальных данных и обеспечением их передачи покупателю (клиенту, заказчику); контроль и надзор за деятельностью операторов фискальных данных и экспертных организаций; контроль и надзор за соответствием контрольно-кассовой техники и фискальных накопителей требованиям законодательства о налогах и сборах.</w:t>
      </w:r>
    </w:p>
    <w:p w:rsidR="00E221D7" w:rsidRDefault="00E221D7" w:rsidP="00E221D7">
      <w:pPr>
        <w:pStyle w:val="af5"/>
        <w:rPr>
          <w:noProof/>
          <w:lang w:val="ru-RU"/>
        </w:rPr>
      </w:pPr>
      <w:r w:rsidRPr="00E221D7">
        <w:rPr>
          <w:noProof/>
          <w:lang w:val="ru-RU"/>
        </w:rPr>
        <w:lastRenderedPageBreak/>
        <w:t>Осуществляться такой контроль будет в форме оперативных проверок, участвовать в которых по запросу налоговых органов могут и органы федеральной службы безопасности.</w:t>
      </w:r>
    </w:p>
    <w:p w:rsidR="00E221D7" w:rsidRDefault="00E221D7" w:rsidP="00BC45A7">
      <w:pPr>
        <w:pStyle w:val="af5"/>
        <w:numPr>
          <w:ilvl w:val="0"/>
          <w:numId w:val="1"/>
        </w:numPr>
        <w:rPr>
          <w:noProof/>
          <w:lang w:val="ru-RU"/>
        </w:rPr>
      </w:pPr>
      <w:r w:rsidRPr="00E221D7">
        <w:rPr>
          <w:noProof/>
          <w:lang w:val="ru-RU"/>
        </w:rPr>
        <w:t>Особенности осуществления налогового контроля в форме оперативного контроля устанавливаются разделом V.3 "Оперативный контроль", в который входят новые главы 14.9 "Общие положения об обязанности по фиксации расчетов", 14.10 "Общие положения об оперативном контроле. Оперативная проверка. Мероприятия налогового контроля, связанные с исполнением обязанности по фиксации расчетов" и 14.11 "Оформление результатов оперативной проверки".</w:t>
      </w:r>
    </w:p>
    <w:p w:rsidR="00E221D7" w:rsidRDefault="00E221D7" w:rsidP="00E221D7">
      <w:pPr>
        <w:pStyle w:val="af5"/>
        <w:rPr>
          <w:noProof/>
          <w:lang w:val="ru-RU"/>
        </w:rPr>
      </w:pPr>
      <w:r w:rsidRPr="00E221D7">
        <w:rPr>
          <w:noProof/>
          <w:lang w:val="ru-RU"/>
        </w:rPr>
        <w:t>Среди способов обеспечения исполнения обязанности по фиксации расчетов: приостановление операций по счетам в банке, ограничение доступа к информационным системам и (или) ПО, которые предназначены и (или) используются для предоставления и (или) распространении информации в информационно-телекоммуникационной сети (сетях) при осуществлении торговли через Интернет, приостановления деятельности организаций или индивидуальных предпринимателей через стационарные торговые объекты, а также блокировка автоматического устройства для расчетов (платежного терминала, торгового автомата и иного автоматического устройства для расчетов).</w:t>
      </w:r>
    </w:p>
    <w:p w:rsidR="00E221D7" w:rsidRDefault="00E221D7" w:rsidP="00E221D7">
      <w:pPr>
        <w:pStyle w:val="af5"/>
        <w:rPr>
          <w:noProof/>
          <w:lang w:val="ru-RU"/>
        </w:rPr>
      </w:pPr>
      <w:r w:rsidRPr="00E221D7">
        <w:rPr>
          <w:noProof/>
          <w:lang w:val="ru-RU"/>
        </w:rPr>
        <w:t>Соответствующие дополнения вносятся и в главу 16 НК РФ "Виды налоговых правонарушений и ответственность за их совершение".</w:t>
      </w:r>
    </w:p>
    <w:p w:rsidR="00E221D7" w:rsidRPr="00E221D7" w:rsidRDefault="00E221D7" w:rsidP="00E221D7">
      <w:pPr>
        <w:pStyle w:val="af5"/>
        <w:rPr>
          <w:noProof/>
          <w:lang w:val="ru-RU"/>
        </w:rPr>
      </w:pPr>
      <w:r w:rsidRPr="00E221D7">
        <w:rPr>
          <w:noProof/>
          <w:lang w:val="ru-RU"/>
        </w:rPr>
        <w:t>Помимо уже привычных мер (штрафов, приостановления деятельности и операций по счетам в банках, а также переводов электронных денежных средств) предусмотрены и совсем новые формы, включающие блокировку автоматических устройств для расчетов, сайтов, программных продуктов, мобильных приложений и страниц в соцсетях, через которые проводятся расчеты без ККТ.</w:t>
      </w:r>
    </w:p>
    <w:p w:rsidR="00E221D7" w:rsidRPr="00E221D7" w:rsidRDefault="00E221D7" w:rsidP="00E221D7">
      <w:pPr>
        <w:pStyle w:val="af5"/>
        <w:numPr>
          <w:ilvl w:val="0"/>
          <w:numId w:val="1"/>
        </w:numPr>
        <w:rPr>
          <w:noProof/>
          <w:lang w:val="ru-RU"/>
        </w:rPr>
      </w:pPr>
      <w:r w:rsidRPr="00E221D7">
        <w:rPr>
          <w:noProof/>
          <w:lang w:val="ru-RU"/>
        </w:rPr>
        <w:t>По-прежнему (но уже по общим правилам п. 1 ст. 34.2 НК РФ) Минфин России дает письменные разъяснения налоговым органам, налогоплательщикам по вопросам применения НК РФ в этой части.</w:t>
      </w:r>
    </w:p>
    <w:p w:rsidR="00E221D7" w:rsidRPr="00E221D7" w:rsidRDefault="00E221D7" w:rsidP="00E221D7">
      <w:pPr>
        <w:pStyle w:val="af5"/>
        <w:numPr>
          <w:ilvl w:val="0"/>
          <w:numId w:val="1"/>
        </w:numPr>
        <w:rPr>
          <w:noProof/>
          <w:lang w:val="ru-RU"/>
        </w:rPr>
      </w:pPr>
      <w:r w:rsidRPr="00E221D7">
        <w:rPr>
          <w:noProof/>
          <w:lang w:val="ru-RU"/>
        </w:rPr>
        <w:t>Что касается основных определений, то, например, термин применение контрольно-кассовой техники, перешел в проект практически без правок (заменены только устанавливающие правила НПА). А вот в понятие расчетов войдут также прием (получение) и выплата денежных средств наличными деньгами и (или) в безналичном порядке за имущественные права, а также выдача (получение) обменных знаков игорного заведения и выдача (получение) денежных средств в обмен на предъявленные обменные знаки игорного заведения.</w:t>
      </w:r>
    </w:p>
    <w:p w:rsidR="00E221D7" w:rsidRPr="00E221D7" w:rsidRDefault="00E221D7" w:rsidP="00E221D7">
      <w:pPr>
        <w:pStyle w:val="af5"/>
        <w:numPr>
          <w:ilvl w:val="0"/>
          <w:numId w:val="1"/>
        </w:numPr>
        <w:rPr>
          <w:noProof/>
          <w:lang w:val="ru-RU"/>
        </w:rPr>
      </w:pPr>
      <w:r w:rsidRPr="00E221D7">
        <w:rPr>
          <w:noProof/>
          <w:lang w:val="ru-RU"/>
        </w:rPr>
        <w:t>Запрещено фиксировать мнимые и притворные расчеты, то есть несуществующие, по которым осуществлена фиксация лишь для вида (в том числе несуществующие обязательства, не имевшие места факты хозяйственной жизни), и в отношении которых осуществлена фиксация вместо фиксации другого расчета с целью "прикрыть" его.</w:t>
      </w:r>
    </w:p>
    <w:p w:rsidR="00E221D7" w:rsidRDefault="00E221D7" w:rsidP="00E221D7">
      <w:pPr>
        <w:pStyle w:val="af5"/>
        <w:numPr>
          <w:ilvl w:val="0"/>
          <w:numId w:val="1"/>
        </w:numPr>
        <w:rPr>
          <w:noProof/>
          <w:lang w:val="ru-RU"/>
        </w:rPr>
      </w:pPr>
      <w:r w:rsidRPr="00E221D7">
        <w:rPr>
          <w:noProof/>
          <w:lang w:val="ru-RU"/>
        </w:rPr>
        <w:t>Практически в неизменном виде сохранена возможность не применять ККТ в ряде случаев с учетом особенностей деятельности (статьи 105.34 и 105.38 НК РФ в редакции проекта). Но не обошлось без корректировок. Так, смогут не фиксировать расчеты государственные и муниципальные архивы при оказании платных услуг населению, связанных с архивным делом. Кроме того, дополнена спорная норма о расчетах при оказании услуг населению в сфере образования - теперь к применяющим ее лицам отнесены образовательные и научные организации, а также индивидуальные предприниматели, осуществляющие образовательную деятельность. Детализировано и лишено временных рамок освобождение от ККТ, предоставленное ИП без наемных работников при реализации ими товаров собственного производства (но уже без распространения этой преференции на случаи оказания ими услуг или выполнения работ). Видоизменена и норма о безналичных расчетах - по-прежнему их фиксация может не осуществляться между организациями и (или) индивидуальными предпринимателями, за исключением организаций и (или) индивидуальных предпринимателей, перешедших на применение УСН. "Упрощенцы" вправе не формировать с применением контрольно-кассовой техники фискальные документы при безналичных расчетах с организациями и ИП при условии формирования расчетных чеков.</w:t>
      </w:r>
    </w:p>
    <w:p w:rsidR="00E221D7" w:rsidRDefault="00E221D7" w:rsidP="00E221D7">
      <w:pPr>
        <w:pStyle w:val="1"/>
        <w:rPr>
          <w:lang w:val="ru-RU"/>
        </w:rPr>
      </w:pPr>
      <w:r w:rsidRPr="00E221D7">
        <w:rPr>
          <w:lang w:val="ru-RU"/>
        </w:rPr>
        <w:lastRenderedPageBreak/>
        <w:t>Изменения по НДС с 1 октября 2020 года</w:t>
      </w:r>
    </w:p>
    <w:p w:rsidR="00E221D7" w:rsidRPr="00E221D7" w:rsidRDefault="00E221D7" w:rsidP="00E221D7">
      <w:pPr>
        <w:pStyle w:val="1"/>
        <w:rPr>
          <w:sz w:val="20"/>
          <w:lang w:val="ru-RU"/>
        </w:rPr>
      </w:pPr>
      <w:r w:rsidRPr="00E221D7">
        <w:rPr>
          <w:sz w:val="20"/>
          <w:lang w:val="ru-RU"/>
        </w:rPr>
        <w:t>От НДС освобождены государственные и муниципальные соцуслуги, оказываемые в рамках государственного и муниципального соцзаказа (Федеральный закон от 13.07.2020 N 191-ФЗ)</w:t>
      </w:r>
    </w:p>
    <w:p w:rsidR="00E221D7" w:rsidRPr="00E221D7" w:rsidRDefault="00E221D7" w:rsidP="00E221D7">
      <w:pPr>
        <w:rPr>
          <w:lang w:val="ru-RU"/>
        </w:rPr>
      </w:pPr>
      <w:r w:rsidRPr="00E221D7">
        <w:rPr>
          <w:lang w:val="ru-RU"/>
        </w:rPr>
        <w:t>Так, согласно пп. 37 п. 2 ст. 149 НК РФ, вступившему в силу 01.10.2020, не подлежит налогообложению (освобождается от налогообложения) реализация на территории РФ государственных (муниципальных) услуг в социальной сфере, оказываемых в соответствии с соглашениями, заключенными по результатам отбора исполнителей государственных (муниципальных) услуг в социальной сфере в соответствии с законодательством РФ о государственном (муниципальном) социальном заказе на оказание государственных (муниципальных) услуг в социальной сфере (за исключением соглашения о предоставлении субсидии на финансовое обеспечение выполнения государственного (муниципального) задания).</w:t>
      </w:r>
    </w:p>
    <w:p w:rsidR="00E221D7" w:rsidRPr="00E221D7" w:rsidRDefault="00E221D7" w:rsidP="00E221D7">
      <w:pPr>
        <w:rPr>
          <w:lang w:val="ru-RU"/>
        </w:rPr>
      </w:pPr>
      <w:r w:rsidRPr="00E221D7">
        <w:rPr>
          <w:lang w:val="ru-RU"/>
        </w:rPr>
        <w:t>Введение данной нормы направлено на создание равных условий налогообложения при оказании государственных (муниципальных) услуг как для государственных учреждений, так и для негосударственных социально-ориентированных организаций.</w:t>
      </w:r>
    </w:p>
    <w:p w:rsidR="00E221D7" w:rsidRPr="00E221D7" w:rsidRDefault="00E221D7" w:rsidP="00E221D7">
      <w:pPr>
        <w:pStyle w:val="1"/>
        <w:rPr>
          <w:sz w:val="20"/>
          <w:lang w:val="ru-RU"/>
        </w:rPr>
      </w:pPr>
      <w:r w:rsidRPr="00E221D7">
        <w:rPr>
          <w:sz w:val="20"/>
          <w:lang w:val="ru-RU"/>
        </w:rPr>
        <w:t>Перевозка товаров для экспорта морскими судами между пунктами на территории РФ облагается НДС по ставке 0 процентов</w:t>
      </w:r>
      <w:r w:rsidRPr="00E221D7">
        <w:rPr>
          <w:sz w:val="20"/>
          <w:lang w:val="ru-RU"/>
        </w:rPr>
        <w:t xml:space="preserve"> </w:t>
      </w:r>
      <w:r w:rsidRPr="00E221D7">
        <w:rPr>
          <w:sz w:val="20"/>
          <w:lang w:val="ru-RU"/>
        </w:rPr>
        <w:t>(пп. "а" п. 1, пп.пп. "б", "г", "д" п. 2, п. 3 ст. 1, ч. 1 ст. 2 Федерального закона от 13.07.2020 N 195-ФЗ)</w:t>
      </w:r>
    </w:p>
    <w:p w:rsidR="00E221D7" w:rsidRPr="00E221D7" w:rsidRDefault="00E221D7" w:rsidP="00E221D7">
      <w:pPr>
        <w:rPr>
          <w:lang w:val="ru-RU"/>
        </w:rPr>
      </w:pPr>
      <w:r w:rsidRPr="00E221D7">
        <w:rPr>
          <w:lang w:val="ru-RU"/>
        </w:rPr>
        <w:t>На основании пп. 2.8-1 п. 1 ст. 164 НК РФ налогообложение НДС производится по налоговой ставке 0 процентов при реализации работ (услуг) по перевозке (транспортировке) товаров морскими судами из пункта отправления на территории РФ до пункта выгрузки или перегрузки (перевалки) на территории РФ на морские суда в целях дальнейшего вывоза указанных товаров из РФ.</w:t>
      </w:r>
    </w:p>
    <w:p w:rsidR="00E221D7" w:rsidRPr="00E221D7" w:rsidRDefault="00E221D7" w:rsidP="00E221D7">
      <w:pPr>
        <w:rPr>
          <w:lang w:val="ru-RU"/>
        </w:rPr>
      </w:pPr>
      <w:r w:rsidRPr="00E221D7">
        <w:rPr>
          <w:lang w:val="ru-RU"/>
        </w:rPr>
        <w:t>Для подтверждения обоснованности применения налоговой ставки 0 процентов в отношении данных операций в налоговый орган в срок не позднее 180 календарных дней с даты проставления таможенными органами отметки "Погрузка разрешена" на поручении на отгрузку товаров соответствующего морского судна нужно представить следующие документы (п.п. 3.8-1, 9 ст. 165 НК РФ):</w:t>
      </w:r>
    </w:p>
    <w:p w:rsidR="00E221D7" w:rsidRPr="00CC43C2" w:rsidRDefault="00E221D7" w:rsidP="00CC43C2">
      <w:pPr>
        <w:pStyle w:val="af5"/>
        <w:numPr>
          <w:ilvl w:val="0"/>
          <w:numId w:val="9"/>
        </w:numPr>
        <w:rPr>
          <w:lang w:val="ru-RU"/>
        </w:rPr>
      </w:pPr>
      <w:r w:rsidRPr="00CC43C2">
        <w:rPr>
          <w:lang w:val="ru-RU"/>
        </w:rPr>
        <w:t>контракт (копию контракта) налогоплательщика на выполнение указанных работ (оказание указанных услуг);</w:t>
      </w:r>
    </w:p>
    <w:p w:rsidR="00E221D7" w:rsidRPr="00CC43C2" w:rsidRDefault="00E221D7" w:rsidP="00CC43C2">
      <w:pPr>
        <w:pStyle w:val="af5"/>
        <w:numPr>
          <w:ilvl w:val="0"/>
          <w:numId w:val="9"/>
        </w:numPr>
        <w:rPr>
          <w:lang w:val="ru-RU"/>
        </w:rPr>
      </w:pPr>
      <w:r w:rsidRPr="00CC43C2">
        <w:rPr>
          <w:lang w:val="ru-RU"/>
        </w:rPr>
        <w:t>копию поручения на отгрузку товаров на морское судно, на котором товар перевозился в место назначения, находящееся за пределами территории РФ, с отметкой "Погрузка разрешена" российского таможенного органа, с приложением перечня транспортных средств (морских судов), доставивших груз;</w:t>
      </w:r>
    </w:p>
    <w:p w:rsidR="00E221D7" w:rsidRPr="00CC43C2" w:rsidRDefault="00E221D7" w:rsidP="00CC43C2">
      <w:pPr>
        <w:pStyle w:val="af5"/>
        <w:numPr>
          <w:ilvl w:val="0"/>
          <w:numId w:val="9"/>
        </w:numPr>
        <w:rPr>
          <w:lang w:val="ru-RU"/>
        </w:rPr>
      </w:pPr>
      <w:r w:rsidRPr="00CC43C2">
        <w:rPr>
          <w:lang w:val="ru-RU"/>
        </w:rPr>
        <w:t>копию коносамента, морской накладной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РФ;</w:t>
      </w:r>
    </w:p>
    <w:p w:rsidR="00E221D7" w:rsidRPr="00CC43C2" w:rsidRDefault="00E221D7" w:rsidP="00CC43C2">
      <w:pPr>
        <w:pStyle w:val="af5"/>
        <w:numPr>
          <w:ilvl w:val="0"/>
          <w:numId w:val="9"/>
        </w:numPr>
        <w:rPr>
          <w:lang w:val="ru-RU"/>
        </w:rPr>
      </w:pPr>
      <w:r w:rsidRPr="00CC43C2">
        <w:rPr>
          <w:lang w:val="ru-RU"/>
        </w:rPr>
        <w:t>копию коносамента, морской накладной или любого иного документа, подтверждающего факт приема товаров к дальнейшей перевозке, в котором в графе "Порт разгрузки" указано место, находящееся за пределами территории РФ.</w:t>
      </w:r>
    </w:p>
    <w:p w:rsidR="00E221D7" w:rsidRPr="00E221D7" w:rsidRDefault="00E221D7" w:rsidP="00E221D7">
      <w:pPr>
        <w:rPr>
          <w:lang w:val="ru-RU"/>
        </w:rPr>
      </w:pPr>
      <w:r w:rsidRPr="00E221D7">
        <w:rPr>
          <w:lang w:val="ru-RU"/>
        </w:rPr>
        <w:t>Пункт 15 ст. 165 НК РФ предусматривает также возможность представления в налоговый орган реестров таких документов (кроме контракта) в электронной форме вместо их копий.</w:t>
      </w:r>
    </w:p>
    <w:p w:rsidR="00E221D7" w:rsidRPr="00E221D7" w:rsidRDefault="00E221D7" w:rsidP="00E221D7">
      <w:pPr>
        <w:rPr>
          <w:lang w:val="ru-RU"/>
        </w:rPr>
      </w:pPr>
      <w:r w:rsidRPr="00E221D7">
        <w:rPr>
          <w:lang w:val="ru-RU"/>
        </w:rPr>
        <w:t>Налоговая база по НДС определяется морскими перевозчиками согласно общим правилам, предусмотренным п. 9 ст. 167 НК РФ.</w:t>
      </w:r>
    </w:p>
    <w:p w:rsidR="00E221D7" w:rsidRPr="00E221D7" w:rsidRDefault="00E221D7" w:rsidP="00E221D7">
      <w:pPr>
        <w:rPr>
          <w:lang w:val="ru-RU"/>
        </w:rPr>
      </w:pPr>
      <w:r w:rsidRPr="00E221D7">
        <w:rPr>
          <w:lang w:val="ru-RU"/>
        </w:rPr>
        <w:t>Приведенные новшества вступили в силу 01.10.2020.</w:t>
      </w:r>
    </w:p>
    <w:p w:rsidR="00E221D7" w:rsidRPr="00CC43C2" w:rsidRDefault="00E221D7" w:rsidP="00CC43C2">
      <w:pPr>
        <w:pStyle w:val="1"/>
        <w:rPr>
          <w:sz w:val="20"/>
          <w:lang w:val="ru-RU"/>
        </w:rPr>
      </w:pPr>
      <w:r w:rsidRPr="00CC43C2">
        <w:rPr>
          <w:sz w:val="20"/>
          <w:lang w:val="ru-RU"/>
        </w:rPr>
        <w:lastRenderedPageBreak/>
        <w:t>Услуги по ледокольной проводке морских судов для перевозки экспортируемых товаров облагаются НДС по ставке 0 процентов (пп. "б" п. 1, пп.пп. "в", "г" п. 2, п. 3 ст. 1, ч. 1 ст. 2 Федерального закона от 13.07.2020 N 195-ФЗ)</w:t>
      </w:r>
    </w:p>
    <w:p w:rsidR="00E221D7" w:rsidRPr="00E221D7" w:rsidRDefault="00E221D7" w:rsidP="00E221D7">
      <w:pPr>
        <w:rPr>
          <w:lang w:val="ru-RU"/>
        </w:rPr>
      </w:pPr>
      <w:r w:rsidRPr="00E221D7">
        <w:rPr>
          <w:lang w:val="ru-RU"/>
        </w:rPr>
        <w:t>На основании пп. 2.13 п. 1 ст. 164 НК РФ налогообложение НДС производится по налоговой ставке 0 процентов при реализации услуг по ледокольной проводке морских судов:</w:t>
      </w:r>
    </w:p>
    <w:p w:rsidR="00E221D7" w:rsidRPr="00CC43C2" w:rsidRDefault="00E221D7" w:rsidP="00CC43C2">
      <w:pPr>
        <w:pStyle w:val="af5"/>
        <w:numPr>
          <w:ilvl w:val="0"/>
          <w:numId w:val="7"/>
        </w:numPr>
        <w:rPr>
          <w:lang w:val="ru-RU"/>
        </w:rPr>
      </w:pPr>
      <w:r w:rsidRPr="00CC43C2">
        <w:rPr>
          <w:lang w:val="ru-RU"/>
        </w:rPr>
        <w:t>осуществляющих перевозку товаров, вывозимых из РФ, в том числе до пункта выгрузки или перегрузки (перевалки) указанных товаров на территории РФ в целях их дальнейшего вывоза из РФ;</w:t>
      </w:r>
    </w:p>
    <w:p w:rsidR="00E221D7" w:rsidRPr="00CC43C2" w:rsidRDefault="00E221D7" w:rsidP="00CC43C2">
      <w:pPr>
        <w:pStyle w:val="af5"/>
        <w:numPr>
          <w:ilvl w:val="0"/>
          <w:numId w:val="7"/>
        </w:numPr>
        <w:rPr>
          <w:lang w:val="ru-RU"/>
        </w:rPr>
      </w:pPr>
      <w:r w:rsidRPr="00CC43C2">
        <w:rPr>
          <w:lang w:val="ru-RU"/>
        </w:rPr>
        <w:t>следующих в пункт отправления на территории РФ для погрузки товаров в целях их дальнейшего вывоза из РФ, в том числе перевозки (транспортировки) погруженных товаров до пункта выгрузки или перегрузки (перевалки) на морские суда на территории РФ в целях дальнейшего вывоза из РФ.</w:t>
      </w:r>
    </w:p>
    <w:p w:rsidR="00E221D7" w:rsidRPr="00E221D7" w:rsidRDefault="00E221D7" w:rsidP="00E221D7">
      <w:pPr>
        <w:rPr>
          <w:lang w:val="ru-RU"/>
        </w:rPr>
      </w:pPr>
      <w:r w:rsidRPr="00E221D7">
        <w:rPr>
          <w:lang w:val="ru-RU"/>
        </w:rPr>
        <w:t>Для целей приведенного правила работы (услуги) по ледокольной проводке морских судов включают в себя обеспечение безопасности плавания судов в акватории Северного морского пути, а именно:</w:t>
      </w:r>
    </w:p>
    <w:p w:rsidR="00E221D7" w:rsidRPr="00CC43C2" w:rsidRDefault="00E221D7" w:rsidP="00CC43C2">
      <w:pPr>
        <w:pStyle w:val="af5"/>
        <w:numPr>
          <w:ilvl w:val="0"/>
          <w:numId w:val="6"/>
        </w:numPr>
        <w:rPr>
          <w:lang w:val="ru-RU"/>
        </w:rPr>
      </w:pPr>
      <w:r w:rsidRPr="00CC43C2">
        <w:rPr>
          <w:lang w:val="ru-RU"/>
        </w:rPr>
        <w:t>ледовую разведку ледоколом;</w:t>
      </w:r>
    </w:p>
    <w:p w:rsidR="00E221D7" w:rsidRPr="00CC43C2" w:rsidRDefault="00E221D7" w:rsidP="00CC43C2">
      <w:pPr>
        <w:pStyle w:val="af5"/>
        <w:numPr>
          <w:ilvl w:val="0"/>
          <w:numId w:val="6"/>
        </w:numPr>
        <w:rPr>
          <w:lang w:val="ru-RU"/>
        </w:rPr>
      </w:pPr>
      <w:r w:rsidRPr="00CC43C2">
        <w:rPr>
          <w:lang w:val="ru-RU"/>
        </w:rPr>
        <w:t>прокладку ледоколом каналов во льду;</w:t>
      </w:r>
    </w:p>
    <w:p w:rsidR="00E221D7" w:rsidRPr="00CC43C2" w:rsidRDefault="00E221D7" w:rsidP="00CC43C2">
      <w:pPr>
        <w:pStyle w:val="af5"/>
        <w:numPr>
          <w:ilvl w:val="0"/>
          <w:numId w:val="6"/>
        </w:numPr>
        <w:rPr>
          <w:lang w:val="ru-RU"/>
        </w:rPr>
      </w:pPr>
      <w:r w:rsidRPr="00CC43C2">
        <w:rPr>
          <w:lang w:val="ru-RU"/>
        </w:rPr>
        <w:t>формирование группы судов и расстановку судов для следования за ледоколом (ледоколами);</w:t>
      </w:r>
    </w:p>
    <w:p w:rsidR="00E221D7" w:rsidRPr="00CC43C2" w:rsidRDefault="00E221D7" w:rsidP="00CC43C2">
      <w:pPr>
        <w:pStyle w:val="af5"/>
        <w:numPr>
          <w:ilvl w:val="0"/>
          <w:numId w:val="6"/>
        </w:numPr>
        <w:rPr>
          <w:lang w:val="ru-RU"/>
        </w:rPr>
      </w:pPr>
      <w:r w:rsidRPr="00CC43C2">
        <w:rPr>
          <w:lang w:val="ru-RU"/>
        </w:rPr>
        <w:t>обеспечение плавания судна в проложенном во льду канале за ледоколом на буксире, без буксира в одиночном плавании или в составе группы судов.</w:t>
      </w:r>
    </w:p>
    <w:p w:rsidR="00E221D7" w:rsidRPr="00E221D7" w:rsidRDefault="00E221D7" w:rsidP="00E221D7">
      <w:pPr>
        <w:rPr>
          <w:lang w:val="ru-RU"/>
        </w:rPr>
      </w:pPr>
      <w:r w:rsidRPr="00E221D7">
        <w:rPr>
          <w:lang w:val="ru-RU"/>
        </w:rPr>
        <w:t>Для подтверждения обоснованности применения налоговой ставки 0 процентов в отношении данных операций в налоговый орган в срок не позднее 180 календарных дней с даты проставления таможенными органами отметки на поручении на отгрузку товаров нужно представить следующие документы (п.п. 3.11, 9 ст. 165 НК РФ):</w:t>
      </w:r>
    </w:p>
    <w:p w:rsidR="00E221D7" w:rsidRPr="00CC43C2" w:rsidRDefault="00E221D7" w:rsidP="00CC43C2">
      <w:pPr>
        <w:pStyle w:val="af5"/>
        <w:numPr>
          <w:ilvl w:val="0"/>
          <w:numId w:val="5"/>
        </w:numPr>
        <w:rPr>
          <w:lang w:val="ru-RU"/>
        </w:rPr>
      </w:pPr>
      <w:r w:rsidRPr="00CC43C2">
        <w:rPr>
          <w:lang w:val="ru-RU"/>
        </w:rPr>
        <w:t>контракт (копию контракта) налогоплательщика на оказание указанных услуг;</w:t>
      </w:r>
    </w:p>
    <w:p w:rsidR="00E221D7" w:rsidRPr="00CC43C2" w:rsidRDefault="00E221D7" w:rsidP="00CC43C2">
      <w:pPr>
        <w:pStyle w:val="af5"/>
        <w:numPr>
          <w:ilvl w:val="0"/>
          <w:numId w:val="5"/>
        </w:numPr>
        <w:rPr>
          <w:lang w:val="ru-RU"/>
        </w:rPr>
      </w:pPr>
      <w:r w:rsidRPr="00CC43C2">
        <w:rPr>
          <w:lang w:val="ru-RU"/>
        </w:rPr>
        <w:t>копию коносамента, морской накладной и (или) любого иного документа, подтверждающего факт приема товара к перевозке, в котором в графе "Порт разгрузки" указано место, находящееся за пределами территории РФ;</w:t>
      </w:r>
    </w:p>
    <w:p w:rsidR="00E221D7" w:rsidRPr="00CC43C2" w:rsidRDefault="00E221D7" w:rsidP="00CC43C2">
      <w:pPr>
        <w:pStyle w:val="af5"/>
        <w:numPr>
          <w:ilvl w:val="0"/>
          <w:numId w:val="5"/>
        </w:numPr>
        <w:rPr>
          <w:lang w:val="ru-RU"/>
        </w:rPr>
      </w:pPr>
      <w:r w:rsidRPr="00CC43C2">
        <w:rPr>
          <w:lang w:val="ru-RU"/>
        </w:rPr>
        <w:t>копию коносамента, морской накладной и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РФ (в случае перевозки товаров до пункта выгрузки или перегрузки (перевалки) на территории РФ в целях их дальнейшего вывоза из РФ);</w:t>
      </w:r>
    </w:p>
    <w:p w:rsidR="00E221D7" w:rsidRPr="00CC43C2" w:rsidRDefault="00E221D7" w:rsidP="00CC43C2">
      <w:pPr>
        <w:pStyle w:val="af5"/>
        <w:numPr>
          <w:ilvl w:val="0"/>
          <w:numId w:val="5"/>
        </w:numPr>
        <w:rPr>
          <w:lang w:val="ru-RU"/>
        </w:rPr>
      </w:pPr>
      <w:r w:rsidRPr="00CC43C2">
        <w:rPr>
          <w:lang w:val="ru-RU"/>
        </w:rPr>
        <w:t>копию поручения на отгрузку товаров на морское судно, на котором товар перевозился в место назначения, находящееся за пределами территории РФ, с отметкой "Погрузка разрешена" российского таможенного органа, с приложением перечня транспортных средств (морских судов), доставивших груз.</w:t>
      </w:r>
    </w:p>
    <w:p w:rsidR="00E221D7" w:rsidRPr="00E221D7" w:rsidRDefault="00E221D7" w:rsidP="00E221D7">
      <w:pPr>
        <w:rPr>
          <w:lang w:val="ru-RU"/>
        </w:rPr>
      </w:pPr>
      <w:r w:rsidRPr="00E221D7">
        <w:rPr>
          <w:lang w:val="ru-RU"/>
        </w:rPr>
        <w:t>Налоговая база по НДС определяется ледокольными проводчиками согласно общим правилам, предусмотренным п. 9 ст. 167 НК РФ.</w:t>
      </w:r>
    </w:p>
    <w:p w:rsidR="00E221D7" w:rsidRPr="00E221D7" w:rsidRDefault="00E221D7" w:rsidP="00E221D7">
      <w:pPr>
        <w:rPr>
          <w:lang w:val="ru-RU"/>
        </w:rPr>
      </w:pPr>
      <w:r w:rsidRPr="00E221D7">
        <w:rPr>
          <w:lang w:val="ru-RU"/>
        </w:rPr>
        <w:t>Приведенные правила налогообложения вступили в силу 01.10.2020.</w:t>
      </w:r>
    </w:p>
    <w:p w:rsidR="00E221D7" w:rsidRPr="00CC43C2" w:rsidRDefault="00E221D7" w:rsidP="00CC43C2">
      <w:pPr>
        <w:pStyle w:val="1"/>
        <w:rPr>
          <w:sz w:val="20"/>
          <w:lang w:val="ru-RU"/>
        </w:rPr>
      </w:pPr>
      <w:r w:rsidRPr="00CC43C2">
        <w:rPr>
          <w:sz w:val="20"/>
          <w:lang w:val="ru-RU"/>
        </w:rPr>
        <w:t>При реализации товаров резидентам Арктической зоны может применяться нулевая налоговая ставка (пп. "а" п. 2 ст. 1, ч. 1 ст. 2 Федерального закона от 13.07.2020 N 195-ФЗ)</w:t>
      </w:r>
    </w:p>
    <w:p w:rsidR="00E221D7" w:rsidRPr="00E221D7" w:rsidRDefault="00E221D7" w:rsidP="00E221D7">
      <w:pPr>
        <w:rPr>
          <w:lang w:val="ru-RU"/>
        </w:rPr>
      </w:pPr>
      <w:r w:rsidRPr="00E221D7">
        <w:rPr>
          <w:lang w:val="ru-RU"/>
        </w:rPr>
        <w:t>Налогообложение НДС производится по налоговой ставке 0 процентов при реализации, в частности, товаров, помещенных под таможенную процедуру свободной таможенной зоны (пп. 1 п. 1 ст. 164 НК РФ).</w:t>
      </w:r>
    </w:p>
    <w:p w:rsidR="00E221D7" w:rsidRDefault="00E221D7" w:rsidP="00E221D7">
      <w:pPr>
        <w:rPr>
          <w:lang w:val="ru-RU"/>
        </w:rPr>
      </w:pPr>
      <w:r w:rsidRPr="00E221D7">
        <w:rPr>
          <w:lang w:val="ru-RU"/>
        </w:rPr>
        <w:t xml:space="preserve">С 01.10.2020 указанную налоговую ставку возможно применить и при реализации товаров резидентам Арктической зоны РФ (см. Федеральный закон от 13.07.2020 N 193-ФЗ "О государственной поддержке предпринимательской деятельности в Арктической зоне РФ"). Для подтверждения обоснованности применения нулевой ставки НДС в таком случае в налоговый орган в составе пакета документов, предусмотренных пп. 5 п. 1 ст. 165 НК РФ, нужно представить, в том числе, контракт (копию контракта), </w:t>
      </w:r>
      <w:r w:rsidRPr="00E221D7">
        <w:rPr>
          <w:lang w:val="ru-RU"/>
        </w:rPr>
        <w:lastRenderedPageBreak/>
        <w:t>заключенный с резидентом Арктической зоны РФ, и копию свидетельства о регистрации лица в качестве резидента Арктической зоны РФ, выданного управляющей компанией, определенной Правительством РФ в целях осуществления функций по управлению Арктической зоной РФ.</w:t>
      </w:r>
    </w:p>
    <w:p w:rsidR="00CC43C2" w:rsidRDefault="00CC43C2" w:rsidP="00CC43C2">
      <w:pPr>
        <w:pStyle w:val="1"/>
        <w:rPr>
          <w:lang w:val="ru-RU"/>
        </w:rPr>
      </w:pPr>
      <w:r w:rsidRPr="00CC43C2">
        <w:rPr>
          <w:lang w:val="ru-RU"/>
        </w:rPr>
        <w:t>Налоговые преференции в IT-отрасли</w:t>
      </w:r>
    </w:p>
    <w:p w:rsidR="00CC43C2" w:rsidRPr="00CC43C2" w:rsidRDefault="00CC43C2" w:rsidP="00CC43C2">
      <w:pPr>
        <w:rPr>
          <w:lang w:val="ru-RU"/>
        </w:rPr>
      </w:pPr>
      <w:r w:rsidRPr="00CC43C2">
        <w:rPr>
          <w:lang w:val="ru-RU"/>
        </w:rPr>
        <w:t>Ряд налоговых льгот, смягчающих условия налогообложения IT-компаний, с 2021 года пополнится принятым в июле законом о налоговом маневре (Федеральный закон от 31.07.2020 N 265-ФЗ), направленном на поддержку этой отрасли.</w:t>
      </w:r>
    </w:p>
    <w:p w:rsidR="00CC43C2" w:rsidRPr="00CC43C2" w:rsidRDefault="00CC43C2" w:rsidP="00CC43C2">
      <w:pPr>
        <w:rPr>
          <w:rFonts w:asciiTheme="majorHAnsi" w:eastAsiaTheme="majorEastAsia" w:hAnsiTheme="majorHAnsi" w:cstheme="majorBidi"/>
          <w:b/>
          <w:bCs/>
          <w:caps/>
          <w:color w:val="E76A1D" w:themeColor="accent1"/>
          <w:lang w:val="ru-RU"/>
        </w:rPr>
      </w:pPr>
      <w:r w:rsidRPr="00CC43C2">
        <w:rPr>
          <w:rFonts w:asciiTheme="majorHAnsi" w:eastAsiaTheme="majorEastAsia" w:hAnsiTheme="majorHAnsi" w:cstheme="majorBidi"/>
          <w:b/>
          <w:bCs/>
          <w:caps/>
          <w:color w:val="E76A1D" w:themeColor="accent1"/>
          <w:lang w:val="ru-RU"/>
        </w:rPr>
        <w:t>НДС</w:t>
      </w:r>
    </w:p>
    <w:p w:rsidR="00CC43C2" w:rsidRPr="00CC43C2" w:rsidRDefault="00CC43C2" w:rsidP="00CC43C2">
      <w:pPr>
        <w:rPr>
          <w:lang w:val="ru-RU"/>
        </w:rPr>
      </w:pPr>
      <w:r w:rsidRPr="00CC43C2">
        <w:rPr>
          <w:lang w:val="ru-RU"/>
        </w:rPr>
        <w:t>Согласно пп. 26 п. 2 ст. 149 НК РФ от налогообложения НДС освобождаются операции по передаче исключительных прав на изобретения, полезные модели, промышленные образцы, программы для электронных вычислительных машин (ЭВМ),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rsidR="00CC43C2" w:rsidRPr="00CC43C2" w:rsidRDefault="00CC43C2" w:rsidP="00CC43C2">
      <w:pPr>
        <w:rPr>
          <w:lang w:val="ru-RU"/>
        </w:rPr>
      </w:pPr>
      <w:r w:rsidRPr="00CC43C2">
        <w:rPr>
          <w:lang w:val="ru-RU"/>
        </w:rPr>
        <w:t>С 1 января 2021 года (Федеральный закон от 31.07.2020 N 265-ФЗ) пп. 26 п. 2 ст. 149 НК РФ изложен в новой редакции: не будет облагаться НДС передача исключительных прав на программы ЭВМ и базы данных, включенные в Единый реестр российских программ,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w:t>
      </w:r>
    </w:p>
    <w:p w:rsidR="00CC43C2" w:rsidRPr="001943C5" w:rsidRDefault="00CC43C2" w:rsidP="00CC43C2">
      <w:pPr>
        <w:pStyle w:val="ac"/>
        <w:rPr>
          <w:lang w:val="ru-RU"/>
        </w:rPr>
      </w:pPr>
      <w:r>
        <w:rPr>
          <w:lang w:val="ru-RU"/>
        </w:rPr>
        <w:t xml:space="preserve"> </w:t>
      </w:r>
      <w:r>
        <w:rPr>
          <w:lang w:val="ru-RU"/>
        </w:rPr>
        <w:t>«</w:t>
      </w:r>
      <w:r w:rsidRPr="00CC43C2">
        <w:rPr>
          <w:lang w:val="ru-RU"/>
        </w:rPr>
        <w:t>Ряд налоговых льгот, смягчающих условия налогообложения IT-компаний, с 2021 года пополнится принятым в июле законом о налоговом маневре (Федеральный закон от 31.07.2020 N 265-ФЗ), направл</w:t>
      </w:r>
      <w:r>
        <w:rPr>
          <w:lang w:val="ru-RU"/>
        </w:rPr>
        <w:t>енном на поддержку этой отрасли</w:t>
      </w:r>
      <w:r>
        <w:rPr>
          <w:lang w:val="ru-RU"/>
        </w:rPr>
        <w:t>»</w:t>
      </w:r>
    </w:p>
    <w:p w:rsidR="00CC43C2" w:rsidRPr="00CC43C2" w:rsidRDefault="00CC43C2" w:rsidP="00CC43C2">
      <w:pPr>
        <w:rPr>
          <w:lang w:val="ru-RU"/>
        </w:rPr>
      </w:pPr>
      <w:r w:rsidRPr="00CC43C2">
        <w:rPr>
          <w:lang w:val="ru-RU"/>
        </w:rPr>
        <w:t>Отдельно оговорено, что положения пп. 26 п. 2 ст. 149 НК РФ не применяются, если передаваемые права состоят в получении возможности распространять рекламную информацию и (или)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 (или) заключать сделки (см. также письмо Минфина России от 25.08.2020 N 03-03-07/74723).</w:t>
      </w:r>
    </w:p>
    <w:p w:rsidR="00CC43C2" w:rsidRPr="00CC43C2" w:rsidRDefault="00CC43C2" w:rsidP="00CC43C2">
      <w:pPr>
        <w:rPr>
          <w:i/>
          <w:lang w:val="ru-RU"/>
        </w:rPr>
      </w:pPr>
      <w:r w:rsidRPr="00CC43C2">
        <w:rPr>
          <w:i/>
          <w:lang w:val="ru-RU"/>
        </w:rPr>
        <w:t>Внимание</w:t>
      </w:r>
    </w:p>
    <w:p w:rsidR="00CC43C2" w:rsidRPr="00CC43C2" w:rsidRDefault="00CC43C2" w:rsidP="00CC43C2">
      <w:pPr>
        <w:rPr>
          <w:lang w:val="ru-RU"/>
        </w:rPr>
      </w:pPr>
      <w:r w:rsidRPr="00CC43C2">
        <w:rPr>
          <w:lang w:val="ru-RU"/>
        </w:rPr>
        <w:t>Исключаются из операций, не подлежащих обложению НДС (освобождаемых от налогообложения), операции по реализации исключительных прав на программы, базы данных, не включенные в реестр российского программного обеспечения, а также прав на использование указанных результатов интеллектуальной деятельности на основании лицензионного договора.</w:t>
      </w:r>
    </w:p>
    <w:p w:rsidR="00CC43C2" w:rsidRPr="00CC43C2" w:rsidRDefault="00CC43C2" w:rsidP="00CC43C2">
      <w:pPr>
        <w:rPr>
          <w:lang w:val="ru-RU"/>
        </w:rPr>
      </w:pPr>
      <w:r w:rsidRPr="00CC43C2">
        <w:rPr>
          <w:lang w:val="ru-RU"/>
        </w:rPr>
        <w:t>Реализация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выделена в отдельный подпункт 26.1 п. 2 ст. 149 НК РФ.</w:t>
      </w:r>
    </w:p>
    <w:p w:rsidR="00CC43C2" w:rsidRPr="00CC43C2" w:rsidRDefault="00CC43C2" w:rsidP="00CC43C2">
      <w:pPr>
        <w:rPr>
          <w:rFonts w:asciiTheme="majorHAnsi" w:eastAsiaTheme="majorEastAsia" w:hAnsiTheme="majorHAnsi" w:cstheme="majorBidi"/>
          <w:b/>
          <w:bCs/>
          <w:caps/>
          <w:color w:val="E76A1D" w:themeColor="accent1"/>
          <w:lang w:val="ru-RU"/>
        </w:rPr>
      </w:pPr>
      <w:r w:rsidRPr="00CC43C2">
        <w:rPr>
          <w:rFonts w:asciiTheme="majorHAnsi" w:eastAsiaTheme="majorEastAsia" w:hAnsiTheme="majorHAnsi" w:cstheme="majorBidi"/>
          <w:b/>
          <w:bCs/>
          <w:caps/>
          <w:color w:val="E76A1D" w:themeColor="accent1"/>
          <w:lang w:val="ru-RU"/>
        </w:rPr>
        <w:t>Налог на прибыль</w:t>
      </w:r>
    </w:p>
    <w:p w:rsidR="00CC43C2" w:rsidRPr="00CC43C2" w:rsidRDefault="00CC43C2" w:rsidP="00CC43C2">
      <w:pPr>
        <w:rPr>
          <w:lang w:val="ru-RU"/>
        </w:rPr>
      </w:pPr>
      <w:r w:rsidRPr="00CC43C2">
        <w:rPr>
          <w:lang w:val="ru-RU"/>
        </w:rPr>
        <w:t>Федеральным законом от 31.07.2020 N 265-ФЗ для российских IT-компаний снижена с 20% до 3% ставка налога на прибыль, зачисляемого в федеральный бюджет, и до 0% - для региональной части налога (п. 1.15 ст. 284 НК РФ, см. также письмо Минфина России от 25.08.2020 N 03-03-07/74723).</w:t>
      </w:r>
    </w:p>
    <w:p w:rsidR="00CC43C2" w:rsidRPr="00CC43C2" w:rsidRDefault="00CC43C2" w:rsidP="00CC43C2">
      <w:pPr>
        <w:rPr>
          <w:lang w:val="ru-RU"/>
        </w:rPr>
      </w:pPr>
      <w:r w:rsidRPr="00CC43C2">
        <w:rPr>
          <w:lang w:val="ru-RU"/>
        </w:rPr>
        <w:t xml:space="preserve">Льгота действует с 1 января 2021 года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w:t>
      </w:r>
      <w:r w:rsidRPr="00CC43C2">
        <w:rPr>
          <w:lang w:val="ru-RU"/>
        </w:rPr>
        <w:lastRenderedPageBreak/>
        <w:t>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w:t>
      </w:r>
    </w:p>
    <w:p w:rsidR="00CC43C2" w:rsidRPr="00CC43C2" w:rsidRDefault="00CC43C2" w:rsidP="00CC43C2">
      <w:pPr>
        <w:rPr>
          <w:lang w:val="ru-RU"/>
        </w:rPr>
      </w:pPr>
      <w:r w:rsidRPr="00CC43C2">
        <w:rPr>
          <w:lang w:val="ru-RU"/>
        </w:rPr>
        <w:t>Они вправе применять пониженные ставки по налогу на прибыль при одновременном соблюдении следующих условий:</w:t>
      </w:r>
    </w:p>
    <w:p w:rsidR="00CC43C2" w:rsidRPr="00CC43C2" w:rsidRDefault="00CC43C2" w:rsidP="00CC43C2">
      <w:pPr>
        <w:pStyle w:val="af5"/>
        <w:numPr>
          <w:ilvl w:val="0"/>
          <w:numId w:val="10"/>
        </w:numPr>
        <w:rPr>
          <w:lang w:val="ru-RU"/>
        </w:rPr>
      </w:pPr>
      <w:r w:rsidRPr="00CC43C2">
        <w:rPr>
          <w:lang w:val="ru-RU"/>
        </w:rPr>
        <w:t>государственная аккредитация;</w:t>
      </w:r>
    </w:p>
    <w:p w:rsidR="00CC43C2" w:rsidRPr="00CC43C2" w:rsidRDefault="00CC43C2" w:rsidP="00CC43C2">
      <w:pPr>
        <w:pStyle w:val="af5"/>
        <w:numPr>
          <w:ilvl w:val="0"/>
          <w:numId w:val="10"/>
        </w:numPr>
        <w:rPr>
          <w:lang w:val="ru-RU"/>
        </w:rPr>
      </w:pPr>
      <w:r w:rsidRPr="00CC43C2">
        <w:rPr>
          <w:lang w:val="ru-RU"/>
        </w:rPr>
        <w:t>доля доходов от указанной деятельности (за исключением рекламы и торговых площадок) по итогам отчетного (налогового) периода составляет не менее 90% в сумме всех доходов. Сумма доходов устанавливается по данным налогового учета в соответствии со ст. 248 НК РФ, при этом в нее не включаются доходы, указанные в пунктах 2 и 11 ст. 250 НК РФ, а также доходы от уступки прав требования долга, возникшего при признании доходов, указанных в абз. 4 п. 1.15 ст. 284 НК РФ. В письме Минфина России от 24.08.2020 N 03-03-07/74034 также отмечено, что при подсчете порогового значения доходов в целях п. 1.15 ст. 284 НК РФ также не учитываются доходы, поименованные в ст. 251 НК РФ;</w:t>
      </w:r>
    </w:p>
    <w:p w:rsidR="00CC43C2" w:rsidRPr="00CC43C2" w:rsidRDefault="00CC43C2" w:rsidP="00CC43C2">
      <w:pPr>
        <w:pStyle w:val="af5"/>
        <w:numPr>
          <w:ilvl w:val="0"/>
          <w:numId w:val="10"/>
        </w:numPr>
        <w:rPr>
          <w:lang w:val="ru-RU"/>
        </w:rPr>
      </w:pPr>
      <w:r w:rsidRPr="00CC43C2">
        <w:rPr>
          <w:lang w:val="ru-RU"/>
        </w:rPr>
        <w:t>среднесписочная численность работников за отчетный (налоговый) период - не менее 7 человек.</w:t>
      </w:r>
    </w:p>
    <w:p w:rsidR="00CC43C2" w:rsidRPr="00CC43C2" w:rsidRDefault="00CC43C2" w:rsidP="00CC43C2">
      <w:pPr>
        <w:rPr>
          <w:lang w:val="ru-RU"/>
        </w:rPr>
      </w:pPr>
      <w:r w:rsidRPr="00CC43C2">
        <w:rPr>
          <w:lang w:val="ru-RU"/>
        </w:rPr>
        <w:t>При невыполнении хотя бы одного из условий льгота снимается с начала налогового периода, в котором допущено несоответствие.</w:t>
      </w:r>
    </w:p>
    <w:p w:rsidR="00CC43C2" w:rsidRPr="00CC43C2" w:rsidRDefault="00CC43C2" w:rsidP="00CC43C2">
      <w:pPr>
        <w:rPr>
          <w:lang w:val="ru-RU"/>
        </w:rPr>
      </w:pPr>
      <w:r w:rsidRPr="00CC43C2">
        <w:rPr>
          <w:lang w:val="ru-RU"/>
        </w:rPr>
        <w:t>В отдельную льготную категорию (но на аналогичных условиях) выделены российские организации, осуществляющие деятельность по проектированию и разработке изделий электронной компонентной базы и электронной (радиоэлектронной) продукции (п. 1.16 ст. 284 НК РФ).</w:t>
      </w:r>
    </w:p>
    <w:p w:rsidR="00CC43C2" w:rsidRPr="00CC43C2" w:rsidRDefault="00CC43C2" w:rsidP="00CC43C2">
      <w:pPr>
        <w:rPr>
          <w:lang w:val="ru-RU"/>
        </w:rPr>
      </w:pPr>
      <w:r w:rsidRPr="00CC43C2">
        <w:rPr>
          <w:lang w:val="ru-RU"/>
        </w:rPr>
        <w:t>При этом с 1 января 2021 года исключена норма п. 6 ст. 259 НК РФ, в соответствии с которой аккредитованные IT-организации с численностью от 50 человек могут не применять установленный НК РФ порядок амортизации в отношении ЭВТ, а списывать ее стоимость сразу в состав материальных расходов (п. 3 ст. 1 Федерального закона от 31.07.2020 N 265-ФЗ). Как указано в Пояснительной записке к законопроекту, "с целью устранения дублирования, &lt;...&gt; так как указанная категория полностью включена в категорию налогоплательщиков, для которых предлагается применять пониженную ставку по налогу на прибыль организаций".</w:t>
      </w:r>
    </w:p>
    <w:p w:rsidR="00CC43C2" w:rsidRPr="00CC43C2" w:rsidRDefault="00CC43C2" w:rsidP="00CC43C2">
      <w:pPr>
        <w:rPr>
          <w:rFonts w:asciiTheme="majorHAnsi" w:eastAsiaTheme="majorEastAsia" w:hAnsiTheme="majorHAnsi" w:cstheme="majorBidi"/>
          <w:b/>
          <w:bCs/>
          <w:caps/>
          <w:color w:val="E76A1D" w:themeColor="accent1"/>
          <w:lang w:val="ru-RU"/>
        </w:rPr>
      </w:pPr>
      <w:r w:rsidRPr="00CC43C2">
        <w:rPr>
          <w:rFonts w:asciiTheme="majorHAnsi" w:eastAsiaTheme="majorEastAsia" w:hAnsiTheme="majorHAnsi" w:cstheme="majorBidi"/>
          <w:b/>
          <w:bCs/>
          <w:caps/>
          <w:color w:val="E76A1D" w:themeColor="accent1"/>
          <w:lang w:val="ru-RU"/>
        </w:rPr>
        <w:t>Страховые взносы</w:t>
      </w:r>
    </w:p>
    <w:p w:rsidR="00CC43C2" w:rsidRPr="00CC43C2" w:rsidRDefault="00CC43C2" w:rsidP="00CC43C2">
      <w:pPr>
        <w:rPr>
          <w:lang w:val="ru-RU"/>
        </w:rPr>
      </w:pPr>
      <w:r w:rsidRPr="00CC43C2">
        <w:rPr>
          <w:lang w:val="ru-RU"/>
        </w:rPr>
        <w:t>Для IT-компаний, указанных в пп. 3 п. 1 ст. 427 НК РФ, а также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 (упомянутых отдельно пп. 18 п. 1 ст. 427 НК РФ), начиная с 2021 года и на бессрочный период устанавливаются пониженные тарифы страховых взносов в совокупном размере 7,6 процента (пп. 1.1 и подп. 8 п. 2 ст. 427 НК РФ в редакции п. 5 статьи 1 Федерального закона от 31.07.2020 N 265-ФЗ, см. также письмо Минфина России от 25.08.2020 N 03-03-07/74723):</w:t>
      </w:r>
    </w:p>
    <w:p w:rsidR="00CC43C2" w:rsidRPr="00CC43C2" w:rsidRDefault="00CC43C2" w:rsidP="00CC43C2">
      <w:pPr>
        <w:pStyle w:val="af5"/>
        <w:numPr>
          <w:ilvl w:val="0"/>
          <w:numId w:val="11"/>
        </w:numPr>
        <w:rPr>
          <w:lang w:val="ru-RU"/>
        </w:rPr>
      </w:pPr>
      <w:r w:rsidRPr="00CC43C2">
        <w:rPr>
          <w:lang w:val="ru-RU"/>
        </w:rPr>
        <w:t>на ОПС</w:t>
      </w:r>
      <w:r w:rsidRPr="00CC43C2">
        <w:rPr>
          <w:lang w:val="ru-RU"/>
        </w:rPr>
        <w:t xml:space="preserve"> - </w:t>
      </w:r>
      <w:r w:rsidRPr="00CC43C2">
        <w:rPr>
          <w:lang w:val="ru-RU"/>
        </w:rPr>
        <w:t>6%</w:t>
      </w:r>
    </w:p>
    <w:p w:rsidR="00CC43C2" w:rsidRPr="00CC43C2" w:rsidRDefault="00CC43C2" w:rsidP="00CC43C2">
      <w:pPr>
        <w:pStyle w:val="af5"/>
        <w:numPr>
          <w:ilvl w:val="0"/>
          <w:numId w:val="11"/>
        </w:numPr>
        <w:rPr>
          <w:lang w:val="ru-RU"/>
        </w:rPr>
      </w:pPr>
      <w:r w:rsidRPr="00CC43C2">
        <w:rPr>
          <w:lang w:val="ru-RU"/>
        </w:rPr>
        <w:t>на ОСС по ВНиМ</w:t>
      </w:r>
      <w:r w:rsidRPr="00CC43C2">
        <w:rPr>
          <w:lang w:val="ru-RU"/>
        </w:rPr>
        <w:t xml:space="preserve"> - </w:t>
      </w:r>
      <w:r w:rsidRPr="00CC43C2">
        <w:rPr>
          <w:lang w:val="ru-RU"/>
        </w:rPr>
        <w:t>1,5%</w:t>
      </w:r>
    </w:p>
    <w:p w:rsidR="00CC43C2" w:rsidRPr="00CC43C2" w:rsidRDefault="00CC43C2" w:rsidP="00CC43C2">
      <w:pPr>
        <w:pStyle w:val="af5"/>
        <w:numPr>
          <w:ilvl w:val="0"/>
          <w:numId w:val="11"/>
        </w:numPr>
        <w:rPr>
          <w:lang w:val="ru-RU"/>
        </w:rPr>
      </w:pPr>
      <w:r w:rsidRPr="00CC43C2">
        <w:rPr>
          <w:lang w:val="ru-RU"/>
        </w:rPr>
        <w:t>на ОМС</w:t>
      </w:r>
      <w:r w:rsidRPr="00CC43C2">
        <w:rPr>
          <w:lang w:val="ru-RU"/>
        </w:rPr>
        <w:t xml:space="preserve"> - </w:t>
      </w:r>
      <w:r w:rsidRPr="00CC43C2">
        <w:rPr>
          <w:lang w:val="ru-RU"/>
        </w:rPr>
        <w:t>0,1%</w:t>
      </w:r>
    </w:p>
    <w:p w:rsidR="00CC43C2" w:rsidRPr="005E58C4" w:rsidRDefault="00CC43C2" w:rsidP="00CC43C2">
      <w:pPr>
        <w:rPr>
          <w:lang w:val="ru-RU"/>
        </w:rPr>
      </w:pPr>
      <w:r w:rsidRPr="00CC43C2">
        <w:rPr>
          <w:lang w:val="ru-RU"/>
        </w:rPr>
        <w:t xml:space="preserve">Право на применение пониженных тарифов по страховым взносам предоставлено тем же организациям и на тех же условиях (аккредитация, доля доходов, численность), которые дают право применять пониженные ставки по налогу на прибыль организаций (п.п. 3, 5, 14 ст. 427 НК РФ, см. также письмо Минфина России от 24.08.2020 </w:t>
      </w:r>
      <w:bookmarkStart w:id="0" w:name="_GoBack"/>
      <w:bookmarkEnd w:id="0"/>
      <w:r w:rsidRPr="00CC43C2">
        <w:rPr>
          <w:lang w:val="ru-RU"/>
        </w:rPr>
        <w:t>N 03-03-07/74034).</w:t>
      </w:r>
    </w:p>
    <w:sectPr w:rsidR="00CC43C2" w:rsidRPr="005E58C4" w:rsidSect="005E58C4">
      <w:pgSz w:w="11907" w:h="16839" w:code="9"/>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3E0"/>
    <w:multiLevelType w:val="hybridMultilevel"/>
    <w:tmpl w:val="5BB4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6643DB"/>
    <w:multiLevelType w:val="hybridMultilevel"/>
    <w:tmpl w:val="CD769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759DA"/>
    <w:multiLevelType w:val="hybridMultilevel"/>
    <w:tmpl w:val="BE4A9F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617837"/>
    <w:multiLevelType w:val="hybridMultilevel"/>
    <w:tmpl w:val="2A461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34B76"/>
    <w:multiLevelType w:val="hybridMultilevel"/>
    <w:tmpl w:val="C2720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F62BD"/>
    <w:multiLevelType w:val="hybridMultilevel"/>
    <w:tmpl w:val="70B2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B0448"/>
    <w:multiLevelType w:val="hybridMultilevel"/>
    <w:tmpl w:val="DDC80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3B5985"/>
    <w:multiLevelType w:val="hybridMultilevel"/>
    <w:tmpl w:val="76CE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3307E"/>
    <w:multiLevelType w:val="hybridMultilevel"/>
    <w:tmpl w:val="2A1A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8313C0"/>
    <w:multiLevelType w:val="hybridMultilevel"/>
    <w:tmpl w:val="AAFA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C13B1"/>
    <w:multiLevelType w:val="hybridMultilevel"/>
    <w:tmpl w:val="EB3C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0"/>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C5"/>
    <w:rsid w:val="001943C5"/>
    <w:rsid w:val="005E58C4"/>
    <w:rsid w:val="0060601D"/>
    <w:rsid w:val="009F05ED"/>
    <w:rsid w:val="00C536AF"/>
    <w:rsid w:val="00CC43C2"/>
    <w:rsid w:val="00E221D7"/>
    <w:rsid w:val="00EF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CC53"/>
  <w15:chartTrackingRefBased/>
  <w15:docId w15:val="{53F3B8CA-7633-4FF7-8A0A-6DCC79CF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link w:val="1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2">
    <w:name w:val="заголовок 2"/>
    <w:basedOn w:val="a"/>
    <w:next w:val="a"/>
    <w:link w:val="2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3">
    <w:name w:val="заголовок 3"/>
    <w:basedOn w:val="a"/>
    <w:next w:val="a"/>
    <w:link w:val="3har"/>
    <w:uiPriority w:val="3"/>
    <w:unhideWhenUsed/>
    <w:qFormat/>
    <w:pPr>
      <w:keepNext/>
      <w:keepLines/>
      <w:spacing w:before="120" w:after="0"/>
      <w:outlineLvl w:val="2"/>
    </w:pPr>
    <w:rPr>
      <w:b/>
      <w:bCs/>
    </w:rPr>
  </w:style>
  <w:style w:type="paragraph" w:customStyle="1" w:styleId="4">
    <w:name w:val="заголовок 4"/>
    <w:basedOn w:val="a"/>
    <w:next w:val="a"/>
    <w:link w:val="4har"/>
    <w:uiPriority w:val="3"/>
    <w:semiHidden/>
    <w:unhideWhenUsed/>
    <w:qFormat/>
    <w:pPr>
      <w:keepNext/>
      <w:keepLines/>
      <w:spacing w:before="160" w:after="0"/>
      <w:outlineLvl w:val="3"/>
    </w:pPr>
    <w:rPr>
      <w:rFonts w:asciiTheme="majorHAnsi" w:eastAsiaTheme="majorEastAsia" w:hAnsiTheme="majorHAnsi" w:cstheme="majorBidi"/>
    </w:rPr>
  </w:style>
  <w:style w:type="character" w:styleId="a3">
    <w:name w:val="Placeholder Text"/>
    <w:basedOn w:val="a0"/>
    <w:uiPriority w:val="99"/>
    <w:semiHidden/>
    <w:rPr>
      <w:color w:val="808080"/>
    </w:rPr>
  </w:style>
  <w:style w:type="paragraph" w:styleId="a4">
    <w:name w:val="Title"/>
    <w:basedOn w:val="a"/>
    <w:link w:val="a5"/>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a5">
    <w:name w:val="Заголовок Знак"/>
    <w:basedOn w:val="a0"/>
    <w:link w:val="a4"/>
    <w:uiPriority w:val="1"/>
    <w:rPr>
      <w:rFonts w:asciiTheme="majorHAnsi" w:eastAsiaTheme="majorEastAsia" w:hAnsiTheme="majorHAnsi" w:cstheme="majorBidi"/>
      <w:b/>
      <w:bCs/>
      <w:caps/>
      <w:kern w:val="28"/>
      <w:sz w:val="78"/>
    </w:rPr>
  </w:style>
  <w:style w:type="paragraph" w:styleId="a6">
    <w:name w:val="Subtitle"/>
    <w:basedOn w:val="a"/>
    <w:next w:val="a"/>
    <w:link w:val="a7"/>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a7">
    <w:name w:val="Подзаголовок Знак"/>
    <w:basedOn w:val="a0"/>
    <w:link w:val="a6"/>
    <w:uiPriority w:val="2"/>
    <w:rPr>
      <w:rFonts w:asciiTheme="majorHAnsi" w:eastAsiaTheme="majorEastAsia" w:hAnsiTheme="majorHAnsi" w:cstheme="majorBidi"/>
      <w:color w:val="5A5A5A" w:themeColor="text1" w:themeTint="A5"/>
      <w:sz w:val="24"/>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ar">
    <w:name w:val="Заголовок 1 (тип сhar)"/>
    <w:basedOn w:val="a0"/>
    <w:link w:val="1"/>
    <w:uiPriority w:val="3"/>
    <w:rPr>
      <w:rFonts w:asciiTheme="majorHAnsi" w:eastAsiaTheme="majorEastAsia" w:hAnsiTheme="majorHAnsi" w:cstheme="majorBidi"/>
      <w:b/>
      <w:bCs/>
      <w:caps/>
      <w:color w:val="E76A1D" w:themeColor="accent1"/>
      <w:sz w:val="24"/>
    </w:rPr>
  </w:style>
  <w:style w:type="paragraph" w:customStyle="1" w:styleId="a9">
    <w:name w:val="Заголовок блока"/>
    <w:basedOn w:val="a"/>
    <w:next w:val="a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ab">
    <w:name w:val="подпись"/>
    <w:basedOn w:val="a"/>
    <w:next w:val="a"/>
    <w:uiPriority w:val="3"/>
    <w:unhideWhenUsed/>
    <w:qFormat/>
    <w:pPr>
      <w:spacing w:before="120" w:after="0" w:line="240" w:lineRule="auto"/>
    </w:pPr>
    <w:rPr>
      <w:i/>
      <w:iCs/>
      <w:color w:val="595959" w:themeColor="text1" w:themeTint="A6"/>
      <w:sz w:val="14"/>
    </w:rPr>
  </w:style>
  <w:style w:type="paragraph" w:customStyle="1" w:styleId="aa">
    <w:name w:val="Текст блока"/>
    <w:basedOn w:val="a"/>
    <w:uiPriority w:val="3"/>
    <w:unhideWhenUsed/>
    <w:qFormat/>
    <w:pPr>
      <w:spacing w:after="180" w:line="312" w:lineRule="auto"/>
      <w:ind w:left="288" w:right="288"/>
    </w:pPr>
    <w:rPr>
      <w:color w:val="FFFFFF" w:themeColor="background1"/>
      <w:sz w:val="22"/>
    </w:rPr>
  </w:style>
  <w:style w:type="character" w:customStyle="1" w:styleId="2har">
    <w:name w:val="Заголовок 2 (тип сhar)"/>
    <w:basedOn w:val="a0"/>
    <w:link w:val="2"/>
    <w:uiPriority w:val="3"/>
    <w:rPr>
      <w:rFonts w:asciiTheme="majorHAnsi" w:eastAsiaTheme="majorEastAsia" w:hAnsiTheme="majorHAnsi" w:cstheme="majorBidi"/>
      <w:color w:val="E76A1D" w:themeColor="accent1"/>
      <w:sz w:val="24"/>
    </w:rPr>
  </w:style>
  <w:style w:type="character" w:customStyle="1" w:styleId="3har">
    <w:name w:val="Заголовок 3 (тип сhar)"/>
    <w:basedOn w:val="a0"/>
    <w:link w:val="3"/>
    <w:uiPriority w:val="3"/>
    <w:rPr>
      <w:b/>
      <w:bCs/>
    </w:rPr>
  </w:style>
  <w:style w:type="paragraph" w:styleId="ac">
    <w:name w:val="Block Text"/>
    <w:basedOn w:val="a"/>
    <w:next w:val="a"/>
    <w:link w:val="ad"/>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d">
    <w:name w:val="Цитата Знак"/>
    <w:basedOn w:val="a0"/>
    <w:link w:val="ac"/>
    <w:uiPriority w:val="3"/>
    <w:rPr>
      <w:i/>
      <w:iCs/>
      <w:color w:val="404040" w:themeColor="text1" w:themeTint="BF"/>
      <w:sz w:val="28"/>
    </w:rPr>
  </w:style>
  <w:style w:type="character" w:customStyle="1" w:styleId="4har">
    <w:name w:val="Заголовок 4 (тип сhar)"/>
    <w:basedOn w:val="a0"/>
    <w:link w:val="4"/>
    <w:uiPriority w:val="3"/>
    <w:semiHidden/>
    <w:rPr>
      <w:rFonts w:asciiTheme="majorHAnsi" w:eastAsiaTheme="majorEastAsia" w:hAnsiTheme="majorHAnsi" w:cstheme="majorBidi"/>
    </w:rPr>
  </w:style>
  <w:style w:type="paragraph" w:styleId="ae">
    <w:name w:val="No Spacing"/>
    <w:uiPriority w:val="99"/>
    <w:qFormat/>
    <w:pPr>
      <w:spacing w:after="0" w:line="240" w:lineRule="auto"/>
    </w:pPr>
  </w:style>
  <w:style w:type="paragraph" w:customStyle="1" w:styleId="af">
    <w:name w:val="Контактные данные"/>
    <w:basedOn w:val="a"/>
    <w:uiPriority w:val="4"/>
    <w:qFormat/>
    <w:pPr>
      <w:spacing w:after="0"/>
    </w:pPr>
  </w:style>
  <w:style w:type="character" w:customStyle="1" w:styleId="af0">
    <w:name w:val="Жирный"/>
    <w:basedOn w:val="a0"/>
    <w:uiPriority w:val="22"/>
    <w:unhideWhenUsed/>
    <w:qFormat/>
    <w:rPr>
      <w:b/>
      <w:bCs/>
      <w:color w:val="5A5A5A" w:themeColor="text1" w:themeTint="A5"/>
    </w:rPr>
  </w:style>
  <w:style w:type="paragraph" w:customStyle="1" w:styleId="af1">
    <w:name w:val="Заголовок контакта"/>
    <w:basedOn w:val="a"/>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af2">
    <w:name w:val="Организация"/>
    <w:basedOn w:val="a"/>
    <w:uiPriority w:val="3"/>
    <w:qFormat/>
    <w:pPr>
      <w:spacing w:after="0"/>
    </w:pPr>
    <w:rPr>
      <w:rFonts w:asciiTheme="majorHAnsi" w:eastAsiaTheme="majorEastAsia" w:hAnsiTheme="majorHAnsi" w:cstheme="majorBidi"/>
      <w:b/>
      <w:bCs/>
      <w:caps/>
      <w:color w:val="E76A1D" w:themeColor="accent1"/>
      <w:sz w:val="22"/>
    </w:rPr>
  </w:style>
  <w:style w:type="paragraph" w:styleId="af3">
    <w:name w:val="Balloon Text"/>
    <w:basedOn w:val="a"/>
    <w:link w:val="af4"/>
    <w:uiPriority w:val="99"/>
    <w:semiHidden/>
    <w:unhideWhenUsed/>
    <w:pPr>
      <w:spacing w:after="0" w:line="240" w:lineRule="auto"/>
    </w:pPr>
    <w:rPr>
      <w:rFonts w:ascii="Segoe UI" w:hAnsi="Segoe UI" w:cs="Segoe UI"/>
      <w:sz w:val="18"/>
    </w:rPr>
  </w:style>
  <w:style w:type="character" w:customStyle="1" w:styleId="af4">
    <w:name w:val="Текст выноски Знак"/>
    <w:basedOn w:val="a0"/>
    <w:link w:val="af3"/>
    <w:uiPriority w:val="99"/>
    <w:semiHidden/>
    <w:rPr>
      <w:rFonts w:ascii="Segoe UI" w:hAnsi="Segoe UI" w:cs="Segoe UI"/>
      <w:sz w:val="18"/>
    </w:rPr>
  </w:style>
  <w:style w:type="paragraph" w:styleId="af5">
    <w:name w:val="List Paragraph"/>
    <w:basedOn w:val="a"/>
    <w:uiPriority w:val="34"/>
    <w:unhideWhenUsed/>
    <w:qFormat/>
    <w:rsid w:val="00E2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48;&#1085;&#1092;&#1086;&#1088;&#1084;&#1072;&#1094;&#1080;&#1086;&#1085;&#1085;&#1099;&#1081;%20&#1073;&#1102;&#1083;&#1083;&#1077;&#1090;&#1077;&#1085;&#1100;%20&#1082;&#1086;&#1084;&#1087;&#1072;&#1085;&#1080;&#1080;.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Информационный бюллетень компании</Template>
  <TotalTime>29</TotalTime>
  <Pages>1</Pages>
  <Words>2965</Words>
  <Characters>16905</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Alex Klyshkan</cp:lastModifiedBy>
  <cp:revision>2</cp:revision>
  <cp:lastPrinted>2012-08-02T20:18:00Z</cp:lastPrinted>
  <dcterms:created xsi:type="dcterms:W3CDTF">2020-10-13T08:42:00Z</dcterms:created>
  <dcterms:modified xsi:type="dcterms:W3CDTF">2020-10-13T09:11:00Z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