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92" w:rsidRDefault="00967F4E" w:rsidP="00F16E92">
      <w:pPr>
        <w:spacing w:after="2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ИНФОРМАЦИОННЫЙ БЮЛЛЕТЕНЬ № </w:t>
      </w:r>
      <w:r w:rsidR="00BC3AD4">
        <w:rPr>
          <w:rFonts w:cstheme="minorHAnsi"/>
          <w:b/>
          <w:lang w:val="en-US"/>
        </w:rPr>
        <w:t>9</w:t>
      </w:r>
      <w:r w:rsidR="00F16E92">
        <w:rPr>
          <w:rFonts w:cstheme="minorHAnsi"/>
          <w:b/>
        </w:rPr>
        <w:t>/2023</w:t>
      </w:r>
    </w:p>
    <w:p w:rsidR="00F674CC" w:rsidRPr="00A876EF" w:rsidRDefault="00F674CC" w:rsidP="00F674CC">
      <w:pPr>
        <w:pStyle w:val="a5"/>
        <w:numPr>
          <w:ilvl w:val="0"/>
          <w:numId w:val="5"/>
        </w:numPr>
        <w:ind w:left="0" w:firstLine="426"/>
      </w:pPr>
      <w:r w:rsidRPr="00A876EF">
        <w:rPr>
          <w:b/>
        </w:rPr>
        <w:t>Постановление</w:t>
      </w:r>
      <w:r w:rsidRPr="00777794">
        <w:rPr>
          <w:b/>
        </w:rPr>
        <w:t xml:space="preserve"> </w:t>
      </w:r>
      <w:r w:rsidRPr="00A876EF">
        <w:rPr>
          <w:b/>
        </w:rPr>
        <w:t>от 1 октября 2022 года №1743.</w:t>
      </w:r>
      <w:r w:rsidRPr="00A876EF">
        <w:t xml:space="preserve"> В 2023 году не будут проводиться плановые проверки в отношении предприятий и организаций, деятельность которых не отнесена к категориям чрезвычайно высокого и высокого риска, а также объекты которых не являются опасными производственным объектами II класса опасности и гидротехническими сооружениями II класса.</w:t>
      </w:r>
    </w:p>
    <w:p w:rsidR="00E1071D" w:rsidRPr="001B4E94" w:rsidRDefault="00F674CC" w:rsidP="001B4E94">
      <w:pPr>
        <w:pStyle w:val="a5"/>
        <w:numPr>
          <w:ilvl w:val="0"/>
          <w:numId w:val="4"/>
        </w:numPr>
        <w:ind w:left="0" w:firstLine="426"/>
      </w:pPr>
      <w:r>
        <w:t>Уточняем, что перечисленная ниже информа</w:t>
      </w:r>
      <w:r w:rsidR="00D90CA9">
        <w:t>ция актуальна на момент до 30.09</w:t>
      </w:r>
      <w:r>
        <w:t>.23 и будет проходить обновление и изменение в соответствии с дальнейшими решениями Правительства РФ.</w:t>
      </w:r>
    </w:p>
    <w:p w:rsidR="009B511F" w:rsidRPr="00B36A83" w:rsidRDefault="009B511F" w:rsidP="00B36A83">
      <w:pPr>
        <w:spacing w:before="240" w:after="0"/>
        <w:jc w:val="center"/>
        <w:rPr>
          <w:b/>
        </w:rPr>
      </w:pPr>
      <w:r w:rsidRPr="00B36A83">
        <w:rPr>
          <w:b/>
        </w:rPr>
        <w:t>Отсрочка от армии для ИТ-специалистов: с 1 января 2024 года предел</w:t>
      </w:r>
      <w:r w:rsidR="00B36A83">
        <w:rPr>
          <w:b/>
        </w:rPr>
        <w:t>ьный возраст повысят до 30 лет</w:t>
      </w:r>
    </w:p>
    <w:p w:rsidR="009B511F" w:rsidRDefault="009B511F" w:rsidP="009B511F">
      <w:pPr>
        <w:ind w:firstLine="540"/>
        <w:jc w:val="both"/>
      </w:pPr>
      <w:r>
        <w:t xml:space="preserve">Президент подписал указ, по которому отсрочку от призыва на военную службу работникам ИТ-компаний будут давать не до </w:t>
      </w:r>
      <w:r w:rsidRPr="00B36A83">
        <w:t>27</w:t>
      </w:r>
      <w:r>
        <w:t xml:space="preserve">, а до </w:t>
      </w:r>
      <w:r w:rsidRPr="00B36A83">
        <w:t>30 лет</w:t>
      </w:r>
      <w:r>
        <w:t xml:space="preserve">. Изменения начнут действовать одновременно с </w:t>
      </w:r>
      <w:r w:rsidRPr="00B36A83">
        <w:t>повышением</w:t>
      </w:r>
      <w:r>
        <w:t xml:space="preserve"> верхн</w:t>
      </w:r>
      <w:r w:rsidR="00B36A83">
        <w:t>ей границы призывного возраста.</w:t>
      </w:r>
    </w:p>
    <w:p w:rsidR="00B36A83" w:rsidRPr="00B36A83" w:rsidRDefault="00B36A83" w:rsidP="00B36A83">
      <w:pPr>
        <w:spacing w:before="240" w:after="0"/>
        <w:jc w:val="center"/>
        <w:rPr>
          <w:b/>
        </w:rPr>
      </w:pPr>
      <w:r w:rsidRPr="00B36A83">
        <w:rPr>
          <w:b/>
        </w:rPr>
        <w:t>ЦБ РФ</w:t>
      </w:r>
      <w:r>
        <w:rPr>
          <w:b/>
        </w:rPr>
        <w:t xml:space="preserve"> снова повысил ключевую ставку</w:t>
      </w:r>
    </w:p>
    <w:p w:rsidR="00B36A83" w:rsidRDefault="00B36A83" w:rsidP="00B36A83">
      <w:pPr>
        <w:ind w:firstLine="540"/>
        <w:jc w:val="both"/>
      </w:pPr>
      <w:r>
        <w:t xml:space="preserve">С 18 сентября ключевая ставка равна </w:t>
      </w:r>
      <w:r w:rsidRPr="00B36A83">
        <w:t>13%</w:t>
      </w:r>
      <w:r>
        <w:t>. Эт</w:t>
      </w:r>
      <w:bookmarkStart w:id="0" w:name="_GoBack"/>
      <w:bookmarkEnd w:id="0"/>
      <w:r>
        <w:t xml:space="preserve">о на 100 б. п. выше </w:t>
      </w:r>
      <w:r w:rsidRPr="00B36A83">
        <w:t>прежнего значения</w:t>
      </w:r>
      <w:r>
        <w:t xml:space="preserve">. Такое решение регулятор принял на очередном заседании. </w:t>
      </w:r>
    </w:p>
    <w:p w:rsidR="00B36A83" w:rsidRDefault="00B36A83" w:rsidP="00B36A83">
      <w:pPr>
        <w:ind w:firstLine="540"/>
        <w:jc w:val="both"/>
      </w:pPr>
      <w:r>
        <w:t xml:space="preserve">Следующее заседание запланировано на </w:t>
      </w:r>
      <w:r w:rsidRPr="00B36A83">
        <w:t>27 октября</w:t>
      </w:r>
      <w:r>
        <w:t>.</w:t>
      </w:r>
    </w:p>
    <w:p w:rsidR="00B36A83" w:rsidRDefault="00B36A83" w:rsidP="00B36A83">
      <w:pPr>
        <w:spacing w:before="240" w:after="0"/>
        <w:ind w:firstLine="540"/>
        <w:jc w:val="center"/>
      </w:pPr>
      <w:r>
        <w:rPr>
          <w:b/>
          <w:bCs/>
        </w:rPr>
        <w:t xml:space="preserve">Высокотехнологичное оборудование: Минфин разрешил применять повышающий коэффициент с 21 июля </w:t>
      </w:r>
    </w:p>
    <w:p w:rsidR="00B36A83" w:rsidRDefault="00B36A83" w:rsidP="00B36A83">
      <w:pPr>
        <w:ind w:firstLine="540"/>
        <w:jc w:val="both"/>
      </w:pPr>
      <w:r>
        <w:t xml:space="preserve">Расходы на высокотехнологичное оборудование организация </w:t>
      </w:r>
      <w:r w:rsidRPr="00B36A83">
        <w:t>может учесть</w:t>
      </w:r>
      <w:r>
        <w:t xml:space="preserve"> </w:t>
      </w:r>
      <w:r>
        <w:t xml:space="preserve">с коэффициентом 1,5. Такая норма действует с 28 апреля 2023 года и </w:t>
      </w:r>
      <w:r w:rsidRPr="00B00D35">
        <w:t>применяется</w:t>
      </w:r>
      <w:r>
        <w:t xml:space="preserve"> при формировании первоначальной стоимости ОС, которое есть в перечне правительства. </w:t>
      </w:r>
    </w:p>
    <w:p w:rsidR="00B36A83" w:rsidRDefault="00B36A83" w:rsidP="00B36A83">
      <w:pPr>
        <w:ind w:firstLine="540"/>
        <w:jc w:val="both"/>
      </w:pPr>
      <w:r>
        <w:t xml:space="preserve">Сложность в том, что </w:t>
      </w:r>
      <w:r w:rsidRPr="00B36A83">
        <w:t>перечень вступил в силу</w:t>
      </w:r>
      <w:r>
        <w:t xml:space="preserve"> только 21 июля. Как </w:t>
      </w:r>
      <w:r w:rsidRPr="00B36A83">
        <w:t>пояснили</w:t>
      </w:r>
      <w:r>
        <w:t xml:space="preserve"> финансисты, применять коэффициент можно к расходам по высокотехнологичному оборудованию, которое ввели в эксплуатацию именно с 21 июля. При этом учетная политика на 2023 год должна предусматрив</w:t>
      </w:r>
      <w:r>
        <w:t>ать использование коэффициента (</w:t>
      </w:r>
      <w:r w:rsidRPr="00B36A83">
        <w:t>Письмо</w:t>
      </w:r>
      <w:r>
        <w:t xml:space="preserve"> Минфина России о</w:t>
      </w:r>
      <w:r>
        <w:t>т 08.08.2023 N 03-03-06/1/74309).</w:t>
      </w:r>
    </w:p>
    <w:p w:rsidR="00140F40" w:rsidRDefault="00140F40" w:rsidP="00B36A83">
      <w:pPr>
        <w:spacing w:before="240" w:after="0"/>
        <w:ind w:firstLine="540"/>
        <w:jc w:val="center"/>
      </w:pPr>
      <w:r>
        <w:rPr>
          <w:b/>
          <w:bCs/>
        </w:rPr>
        <w:t xml:space="preserve">Минфин вводит КБК для некоторых перерасчетов </w:t>
      </w:r>
      <w:r w:rsidR="00B36A83">
        <w:rPr>
          <w:b/>
          <w:bCs/>
        </w:rPr>
        <w:t>по НДФЛ - приказ на регистрации</w:t>
      </w:r>
    </w:p>
    <w:p w:rsidR="00140F40" w:rsidRDefault="00140F40" w:rsidP="00140F40">
      <w:pPr>
        <w:ind w:firstLine="540"/>
        <w:jc w:val="both"/>
      </w:pPr>
      <w:r>
        <w:t xml:space="preserve">Ведомство отправило на регистрацию в Минюст поправки к </w:t>
      </w:r>
      <w:r w:rsidRPr="00B36A83">
        <w:t>перечням КБК</w:t>
      </w:r>
      <w:r>
        <w:t xml:space="preserve">. Среди прочего </w:t>
      </w:r>
      <w:r w:rsidRPr="00B36A83">
        <w:t>хотят ввести</w:t>
      </w:r>
      <w:r>
        <w:t xml:space="preserve"> новые коды для НДФЛ, который перечисляют налоговые агенты, определенные правительством, и который должны распределять между субъектами РФ (за рядом исключений): </w:t>
      </w:r>
    </w:p>
    <w:p w:rsidR="00140F40" w:rsidRDefault="00140F40" w:rsidP="00B00D35">
      <w:pPr>
        <w:pStyle w:val="a5"/>
        <w:numPr>
          <w:ilvl w:val="0"/>
          <w:numId w:val="19"/>
        </w:numPr>
        <w:ind w:left="709" w:hanging="283"/>
        <w:jc w:val="both"/>
      </w:pPr>
      <w:r>
        <w:t xml:space="preserve">1 01 02010 01 1010 110 - для перерасчетов, недоимки и долга в том числе по отмененным платежам; </w:t>
      </w:r>
    </w:p>
    <w:p w:rsidR="00140F40" w:rsidRDefault="00140F40" w:rsidP="00B00D35">
      <w:pPr>
        <w:pStyle w:val="a5"/>
        <w:numPr>
          <w:ilvl w:val="0"/>
          <w:numId w:val="19"/>
        </w:numPr>
        <w:ind w:left="709" w:hanging="283"/>
        <w:jc w:val="both"/>
      </w:pPr>
      <w:r>
        <w:t xml:space="preserve">1 01 02010 01 3010 110 - для штрафов. Также для этих налоговых агентов планируют добавить два кода для налога свыше 650 тыс. руб., </w:t>
      </w:r>
      <w:r w:rsidR="00B36A83">
        <w:t>т.е. с дохода более 5 млн руб.;</w:t>
      </w:r>
    </w:p>
    <w:p w:rsidR="00140F40" w:rsidRDefault="00140F40" w:rsidP="00B00D35">
      <w:pPr>
        <w:pStyle w:val="a5"/>
        <w:numPr>
          <w:ilvl w:val="0"/>
          <w:numId w:val="19"/>
        </w:numPr>
        <w:ind w:left="709" w:hanging="283"/>
        <w:jc w:val="both"/>
      </w:pPr>
      <w:r>
        <w:t>1 01 02080 01 1010 110 - для перерасчетов, недоимки и долга в том числе по отмененн</w:t>
      </w:r>
      <w:r w:rsidR="00B36A83">
        <w:t>ым платежам;</w:t>
      </w:r>
    </w:p>
    <w:p w:rsidR="00140F40" w:rsidRDefault="00140F40" w:rsidP="00B00D35">
      <w:pPr>
        <w:pStyle w:val="a5"/>
        <w:numPr>
          <w:ilvl w:val="0"/>
          <w:numId w:val="19"/>
        </w:numPr>
        <w:ind w:left="709" w:hanging="283"/>
        <w:jc w:val="both"/>
      </w:pPr>
      <w:r>
        <w:t>1 01 0</w:t>
      </w:r>
      <w:r w:rsidR="00B36A83">
        <w:t>2080 01 3010 110 - для штрафов.</w:t>
      </w:r>
    </w:p>
    <w:p w:rsidR="00B36A83" w:rsidRDefault="00140F40" w:rsidP="00334432">
      <w:pPr>
        <w:ind w:firstLine="540"/>
        <w:jc w:val="both"/>
      </w:pPr>
      <w:r>
        <w:t xml:space="preserve">Эти коды не будут применять к НДФЛ с прибыли КИК, в </w:t>
      </w:r>
      <w:proofErr w:type="spellStart"/>
      <w:r>
        <w:t>т.ч</w:t>
      </w:r>
      <w:proofErr w:type="spellEnd"/>
      <w:r>
        <w:t>. фиксированно</w:t>
      </w:r>
      <w:r w:rsidR="00B00D35">
        <w:t>й, а также к НДФЛ с дивидендов (</w:t>
      </w:r>
      <w:r w:rsidRPr="00B00D35">
        <w:t>Приказ</w:t>
      </w:r>
      <w:r>
        <w:t xml:space="preserve"> Минф</w:t>
      </w:r>
      <w:r w:rsidR="00B00D35">
        <w:t>ина России от 28.08.2023 N 139н).</w:t>
      </w:r>
      <w:r w:rsidR="00334432">
        <w:br w:type="page"/>
      </w:r>
    </w:p>
    <w:p w:rsidR="009B511F" w:rsidRPr="00B00D35" w:rsidRDefault="009B511F" w:rsidP="0065769D">
      <w:pPr>
        <w:spacing w:before="240" w:after="0"/>
        <w:jc w:val="center"/>
        <w:rPr>
          <w:b/>
        </w:rPr>
      </w:pPr>
      <w:r w:rsidRPr="00B00D35">
        <w:rPr>
          <w:b/>
        </w:rPr>
        <w:lastRenderedPageBreak/>
        <w:t>Имущественные налоги: ФНС рассказала, как с 1 января 2024 года станет рассматривать документ</w:t>
      </w:r>
      <w:r w:rsidR="00B00D35">
        <w:rPr>
          <w:b/>
        </w:rPr>
        <w:t>ы</w:t>
      </w:r>
    </w:p>
    <w:p w:rsidR="009B511F" w:rsidRDefault="009B511F" w:rsidP="00B00D35">
      <w:pPr>
        <w:ind w:firstLine="540"/>
        <w:jc w:val="both"/>
      </w:pPr>
      <w:r>
        <w:t xml:space="preserve">Налоговики со следующего года </w:t>
      </w:r>
      <w:r w:rsidRPr="00B00D35">
        <w:t>вводят схему</w:t>
      </w:r>
      <w:r>
        <w:t>, по которой станут рассматривать документы по налогообложению имущества</w:t>
      </w:r>
      <w:r w:rsidR="00B00D35">
        <w:t xml:space="preserve"> (</w:t>
      </w:r>
      <w:r w:rsidR="00B00D35" w:rsidRPr="00B00D35">
        <w:t>Письмо</w:t>
      </w:r>
      <w:r w:rsidR="00B00D35">
        <w:t xml:space="preserve"> ФНС России от 29.08.2023 N БС-4-21/11027@</w:t>
      </w:r>
      <w:r w:rsidR="00B00D35">
        <w:t>)</w:t>
      </w:r>
      <w:r>
        <w:t>. Она коснетс</w:t>
      </w:r>
      <w:r w:rsidR="00B00D35">
        <w:t xml:space="preserve">я, </w:t>
      </w:r>
      <w:proofErr w:type="gramStart"/>
      <w:r w:rsidR="00B00D35">
        <w:t>например</w:t>
      </w:r>
      <w:proofErr w:type="gramEnd"/>
      <w:r w:rsidR="00B00D35">
        <w:t>:</w:t>
      </w:r>
    </w:p>
    <w:p w:rsidR="009B511F" w:rsidRDefault="009B511F" w:rsidP="00B00D35">
      <w:pPr>
        <w:pStyle w:val="a5"/>
        <w:numPr>
          <w:ilvl w:val="0"/>
          <w:numId w:val="20"/>
        </w:numPr>
        <w:ind w:left="709" w:hanging="283"/>
        <w:jc w:val="both"/>
      </w:pPr>
      <w:r w:rsidRPr="00B00D35">
        <w:t>сообщений</w:t>
      </w:r>
      <w:r>
        <w:t xml:space="preserve"> о наличии у организации транспорта или недвижимости, которую облагают по кадастровой стоимости; </w:t>
      </w:r>
    </w:p>
    <w:p w:rsidR="009B511F" w:rsidRDefault="009B511F" w:rsidP="00B00D35">
      <w:pPr>
        <w:pStyle w:val="a5"/>
        <w:numPr>
          <w:ilvl w:val="0"/>
          <w:numId w:val="20"/>
        </w:numPr>
        <w:ind w:left="709" w:hanging="283"/>
        <w:jc w:val="both"/>
      </w:pPr>
      <w:r>
        <w:t xml:space="preserve">заявлений </w:t>
      </w:r>
      <w:r w:rsidRPr="00B00D35">
        <w:t>о гибели или уничтожении объекта</w:t>
      </w:r>
      <w:r>
        <w:t xml:space="preserve"> либо о льготе </w:t>
      </w:r>
      <w:r w:rsidRPr="00B00D35">
        <w:t>по налогу на имущество</w:t>
      </w:r>
      <w:r>
        <w:t xml:space="preserve">, </w:t>
      </w:r>
      <w:r w:rsidRPr="00B00D35">
        <w:t>транспортному или земельному налогу</w:t>
      </w:r>
      <w:r w:rsidR="00B00D35">
        <w:t>;</w:t>
      </w:r>
    </w:p>
    <w:p w:rsidR="009B511F" w:rsidRDefault="009B511F" w:rsidP="00B00D35">
      <w:pPr>
        <w:pStyle w:val="a5"/>
        <w:numPr>
          <w:ilvl w:val="0"/>
          <w:numId w:val="20"/>
        </w:numPr>
        <w:ind w:left="709" w:hanging="283"/>
        <w:jc w:val="both"/>
      </w:pPr>
      <w:r w:rsidRPr="00B00D35">
        <w:t>заявления</w:t>
      </w:r>
      <w:r>
        <w:t xml:space="preserve"> о выдаче сообщения об исчисленных налогах; </w:t>
      </w:r>
    </w:p>
    <w:p w:rsidR="009B511F" w:rsidRDefault="009B511F" w:rsidP="00B00D35">
      <w:pPr>
        <w:pStyle w:val="a5"/>
        <w:numPr>
          <w:ilvl w:val="0"/>
          <w:numId w:val="20"/>
        </w:numPr>
        <w:ind w:left="709" w:hanging="283"/>
        <w:jc w:val="both"/>
      </w:pPr>
      <w:r w:rsidRPr="00B00D35">
        <w:t>пояснений</w:t>
      </w:r>
      <w:r>
        <w:t xml:space="preserve"> налогоплательщика. </w:t>
      </w:r>
    </w:p>
    <w:p w:rsidR="009B511F" w:rsidRDefault="009B511F" w:rsidP="009B511F">
      <w:pPr>
        <w:ind w:firstLine="540"/>
        <w:jc w:val="both"/>
      </w:pPr>
      <w:r>
        <w:t xml:space="preserve">Так, ФНС закрепила: организация </w:t>
      </w:r>
      <w:r w:rsidRPr="00B00D35">
        <w:t>может направить</w:t>
      </w:r>
      <w:r>
        <w:t xml:space="preserve"> документ (кроме </w:t>
      </w:r>
      <w:r w:rsidRPr="00B00D35">
        <w:t>уведомления</w:t>
      </w:r>
      <w:r>
        <w:t xml:space="preserve"> о порядке подачи декларации по недвижимости) в любую инспекцию. Если он попадет не в ту налоговую, у которой есть полномочия рассматривать его по существу, документ </w:t>
      </w:r>
      <w:r w:rsidRPr="00B00D35">
        <w:t>перенаправят</w:t>
      </w:r>
      <w:r>
        <w:t xml:space="preserve">. </w:t>
      </w:r>
    </w:p>
    <w:p w:rsidR="009B511F" w:rsidRDefault="009B511F" w:rsidP="009B511F">
      <w:pPr>
        <w:ind w:firstLine="540"/>
        <w:jc w:val="both"/>
      </w:pPr>
      <w:r>
        <w:t xml:space="preserve">По каждому документу налоговики рассказали, что может ждать налогоплательщика. К примеру: </w:t>
      </w:r>
    </w:p>
    <w:p w:rsidR="009B511F" w:rsidRDefault="009B511F" w:rsidP="00B00D35">
      <w:pPr>
        <w:pStyle w:val="a5"/>
        <w:numPr>
          <w:ilvl w:val="0"/>
          <w:numId w:val="21"/>
        </w:numPr>
        <w:ind w:left="709" w:hanging="283"/>
        <w:jc w:val="both"/>
      </w:pPr>
      <w:r>
        <w:t xml:space="preserve">когда инспекция рассмотрит заявление о льготе, то при подтверждении она направит уведомление и </w:t>
      </w:r>
      <w:r w:rsidRPr="00B00D35">
        <w:t>пересчитает налог</w:t>
      </w:r>
      <w:r>
        <w:t xml:space="preserve">. Если в льготе откажут, то организация получит сообщение; </w:t>
      </w:r>
    </w:p>
    <w:p w:rsidR="009B511F" w:rsidRDefault="009B511F" w:rsidP="00B00D35">
      <w:pPr>
        <w:pStyle w:val="a5"/>
        <w:numPr>
          <w:ilvl w:val="0"/>
          <w:numId w:val="21"/>
        </w:numPr>
        <w:ind w:left="709" w:hanging="283"/>
        <w:jc w:val="both"/>
      </w:pPr>
      <w:r>
        <w:t xml:space="preserve">когда налоговики проанализируют пояснения к сообщению об исчисленных налогах, они направят </w:t>
      </w:r>
      <w:r w:rsidRPr="00B00D35">
        <w:t>уведомление</w:t>
      </w:r>
      <w:r>
        <w:t xml:space="preserve">, в котором обоснуют, почему отклонили или приняли доводы. </w:t>
      </w:r>
    </w:p>
    <w:p w:rsidR="00B36A83" w:rsidRDefault="00B36A83" w:rsidP="0065769D">
      <w:pPr>
        <w:spacing w:before="240" w:after="0"/>
        <w:ind w:firstLine="540"/>
        <w:jc w:val="center"/>
      </w:pPr>
      <w:r>
        <w:rPr>
          <w:b/>
          <w:bCs/>
        </w:rPr>
        <w:t>Недоимка после проверки: ФНС рассказала об особенностях начисления пени, если до</w:t>
      </w:r>
      <w:r w:rsidR="0065769D">
        <w:rPr>
          <w:b/>
          <w:bCs/>
        </w:rPr>
        <w:t>лг погасили зачетом</w:t>
      </w:r>
    </w:p>
    <w:p w:rsidR="00B36A83" w:rsidRDefault="00B36A83" w:rsidP="00B36A83">
      <w:pPr>
        <w:ind w:firstLine="540"/>
        <w:jc w:val="both"/>
      </w:pPr>
      <w:r>
        <w:t xml:space="preserve">Ведомство рассмотрело ситуацию, когда после проверки инспекция доначисляет налог, а налогоплательщик до того, как решение вступило в силу, подает заявление о зачете для погашения долга. Как </w:t>
      </w:r>
      <w:r w:rsidRPr="0065769D">
        <w:t>пояснило</w:t>
      </w:r>
      <w:r>
        <w:t xml:space="preserve"> ведомство, пени на недоимку все равно начислят. </w:t>
      </w:r>
    </w:p>
    <w:p w:rsidR="00B36A83" w:rsidRDefault="00B36A83" w:rsidP="0065769D">
      <w:pPr>
        <w:ind w:firstLine="540"/>
        <w:jc w:val="both"/>
      </w:pPr>
      <w:r>
        <w:t xml:space="preserve">Свою позицию налоговики обосновали так. </w:t>
      </w:r>
      <w:proofErr w:type="spellStart"/>
      <w:r>
        <w:t>Доначисленный</w:t>
      </w:r>
      <w:proofErr w:type="spellEnd"/>
      <w:r>
        <w:t xml:space="preserve"> налог </w:t>
      </w:r>
      <w:r w:rsidRPr="0065769D">
        <w:t>учитывают</w:t>
      </w:r>
      <w:r>
        <w:t xml:space="preserve"> в совокупной обязанности на дату вступления в силу решения по проверке, т.е. через месяц. Налогоплательщик </w:t>
      </w:r>
      <w:r w:rsidRPr="0065769D">
        <w:t>может раньше подать</w:t>
      </w:r>
      <w:r>
        <w:t xml:space="preserve"> заявление о зачете положительного сальдо в счет недоимки, не учитываемой в совокупной обязанности, т.е. как раз долга по проверке. В таком случае ее просто </w:t>
      </w:r>
      <w:r w:rsidRPr="0065769D">
        <w:t>начнут учитывать</w:t>
      </w:r>
      <w:r>
        <w:t xml:space="preserve"> до момента вступления в силу решения, а именно со дня, следующего за днем подачи заявления. Пени </w:t>
      </w:r>
      <w:r w:rsidRPr="0065769D">
        <w:t>отражают</w:t>
      </w:r>
      <w:r w:rsidR="0065769D">
        <w:t xml:space="preserve"> </w:t>
      </w:r>
      <w:r>
        <w:t xml:space="preserve">в совокупной обязанности вместе с недоимкой. Как только вся недоимка будет зачтена, их также </w:t>
      </w:r>
      <w:r w:rsidRPr="0065769D">
        <w:t>можно будет погасить</w:t>
      </w:r>
      <w:r w:rsidR="0065769D">
        <w:t xml:space="preserve"> за счет ЕНП (</w:t>
      </w:r>
      <w:r w:rsidRPr="0065769D">
        <w:t>Письмо</w:t>
      </w:r>
      <w:r>
        <w:t xml:space="preserve"> ФНС Росси</w:t>
      </w:r>
      <w:r w:rsidR="0065769D">
        <w:t>и от 22.08.2023 N КЧ-4-8/10713@).</w:t>
      </w:r>
    </w:p>
    <w:p w:rsidR="009B511F" w:rsidRDefault="009B511F" w:rsidP="0065769D">
      <w:pPr>
        <w:spacing w:before="240" w:after="0"/>
        <w:ind w:firstLine="540"/>
        <w:jc w:val="center"/>
      </w:pPr>
      <w:r>
        <w:rPr>
          <w:b/>
          <w:bCs/>
        </w:rPr>
        <w:t xml:space="preserve">Компенсацию </w:t>
      </w:r>
      <w:proofErr w:type="spellStart"/>
      <w:r>
        <w:rPr>
          <w:b/>
          <w:bCs/>
        </w:rPr>
        <w:t>вахтовикам</w:t>
      </w:r>
      <w:proofErr w:type="spellEnd"/>
      <w:r>
        <w:rPr>
          <w:b/>
          <w:bCs/>
        </w:rPr>
        <w:t xml:space="preserve"> проезда до работы по трудовому договору Ф</w:t>
      </w:r>
      <w:r w:rsidR="0065769D">
        <w:rPr>
          <w:b/>
          <w:bCs/>
        </w:rPr>
        <w:t>НС разрешила включать в расходы</w:t>
      </w:r>
    </w:p>
    <w:p w:rsidR="009B511F" w:rsidRDefault="009B511F" w:rsidP="009B511F">
      <w:pPr>
        <w:ind w:firstLine="540"/>
        <w:jc w:val="both"/>
      </w:pPr>
      <w:r>
        <w:t xml:space="preserve">Налоговики </w:t>
      </w:r>
      <w:r w:rsidRPr="0065769D">
        <w:t>разъяснили</w:t>
      </w:r>
      <w:r>
        <w:t xml:space="preserve">: когда работодатель оплачивает проезд </w:t>
      </w:r>
      <w:proofErr w:type="spellStart"/>
      <w:r>
        <w:t>вахтовикам</w:t>
      </w:r>
      <w:proofErr w:type="spellEnd"/>
      <w:r>
        <w:t xml:space="preserve"> от места жительства до работы по трудовому договору и локальному акту, расходы можно учесть в налоге на прибыль. То, что коллективного договора нет, значения не имеет. </w:t>
      </w:r>
    </w:p>
    <w:p w:rsidR="009B511F" w:rsidRDefault="009B511F" w:rsidP="009B511F">
      <w:pPr>
        <w:ind w:firstLine="540"/>
        <w:jc w:val="both"/>
      </w:pPr>
      <w:r>
        <w:t xml:space="preserve">Такую оплату можно считать </w:t>
      </w:r>
      <w:r w:rsidRPr="0065769D">
        <w:t>расходами на оплату труда</w:t>
      </w:r>
      <w:r>
        <w:t xml:space="preserve">. Подход применяют, когда пользуются транспортом общего пользования, </w:t>
      </w:r>
      <w:proofErr w:type="spellStart"/>
      <w:r>
        <w:t>спецмаршрутами</w:t>
      </w:r>
      <w:proofErr w:type="spellEnd"/>
      <w:r>
        <w:t xml:space="preserve"> или ведомственным транспортом. </w:t>
      </w:r>
    </w:p>
    <w:p w:rsidR="009B511F" w:rsidRDefault="009B511F" w:rsidP="0065769D">
      <w:pPr>
        <w:ind w:firstLine="540"/>
        <w:jc w:val="both"/>
      </w:pPr>
      <w:r>
        <w:t xml:space="preserve">ФНС </w:t>
      </w:r>
      <w:r w:rsidRPr="0065769D">
        <w:t>напомнила</w:t>
      </w:r>
      <w:r>
        <w:t xml:space="preserve">, что с марта 2023 года доставку сотрудников от места нахождения работодателя или пункта сбора до места работы и обратно организация проводит за свой счет в </w:t>
      </w:r>
      <w:r>
        <w:lastRenderedPageBreak/>
        <w:t xml:space="preserve">силу </w:t>
      </w:r>
      <w:r w:rsidRPr="0065769D">
        <w:t>ТК РФ</w:t>
      </w:r>
      <w:r>
        <w:t xml:space="preserve">. Поэтому эти затраты учитывают в </w:t>
      </w:r>
      <w:r w:rsidRPr="0065769D">
        <w:t>прочих расходах</w:t>
      </w:r>
      <w:r>
        <w:t xml:space="preserve"> независимо от трудов</w:t>
      </w:r>
      <w:r w:rsidR="0065769D">
        <w:t>ого или коллективного договора (Письмо</w:t>
      </w:r>
      <w:r>
        <w:t xml:space="preserve"> ФНС Росс</w:t>
      </w:r>
      <w:r w:rsidR="0065769D">
        <w:t>ии от 06.07.2023 N СД-4-3/8615@).</w:t>
      </w:r>
    </w:p>
    <w:p w:rsidR="009B511F" w:rsidRDefault="009B511F" w:rsidP="0065769D">
      <w:pPr>
        <w:spacing w:before="240" w:after="0"/>
        <w:ind w:firstLine="540"/>
        <w:jc w:val="center"/>
      </w:pPr>
      <w:r>
        <w:rPr>
          <w:b/>
          <w:bCs/>
        </w:rPr>
        <w:t>Справка о среднем заработке для пособия по безработице: с 10 сентябр</w:t>
      </w:r>
      <w:r w:rsidR="0065769D">
        <w:rPr>
          <w:b/>
          <w:bCs/>
        </w:rPr>
        <w:t>я применяют утвержденную форму</w:t>
      </w:r>
    </w:p>
    <w:p w:rsidR="009B511F" w:rsidRDefault="009B511F" w:rsidP="009B511F">
      <w:pPr>
        <w:ind w:firstLine="540"/>
        <w:jc w:val="both"/>
      </w:pPr>
      <w:r>
        <w:t xml:space="preserve">Приказ Минтруда с </w:t>
      </w:r>
      <w:r w:rsidRPr="00334432">
        <w:t>формой справки</w:t>
      </w:r>
      <w:r w:rsidR="0065769D">
        <w:t xml:space="preserve"> опубликовали.</w:t>
      </w:r>
    </w:p>
    <w:p w:rsidR="009B511F" w:rsidRDefault="009B511F" w:rsidP="009B511F">
      <w:pPr>
        <w:ind w:firstLine="540"/>
        <w:jc w:val="both"/>
      </w:pPr>
      <w:r>
        <w:t xml:space="preserve">В справку включили данные о </w:t>
      </w:r>
      <w:r w:rsidRPr="00334432">
        <w:t>работодателе</w:t>
      </w:r>
      <w:r>
        <w:t xml:space="preserve"> и </w:t>
      </w:r>
      <w:r w:rsidRPr="00334432">
        <w:t>работнике</w:t>
      </w:r>
      <w:r>
        <w:t>. В отношении последнего нужно будет в числе прочего отразить период работы, привести сведения об отпусках по беременности и родам и по уходу за ребенком, если они были в течение 12 месяцев перед увольнен</w:t>
      </w:r>
      <w:r w:rsidR="00334432">
        <w:t>ием, указать средний заработок (</w:t>
      </w:r>
      <w:r w:rsidR="00334432" w:rsidRPr="00334432">
        <w:t>Приказ</w:t>
      </w:r>
      <w:r w:rsidR="00334432">
        <w:t xml:space="preserve"> Минтр</w:t>
      </w:r>
      <w:r w:rsidR="00334432">
        <w:t>уда России от 27.07.2023 N 604н).</w:t>
      </w:r>
    </w:p>
    <w:p w:rsidR="009B511F" w:rsidRDefault="009B511F" w:rsidP="009B511F">
      <w:pPr>
        <w:ind w:firstLine="540"/>
        <w:jc w:val="both"/>
      </w:pPr>
      <w:r>
        <w:t xml:space="preserve">Ранее не было формы, утвержденной на федеральном уровне. Работодатели использовали формы, разработанные на региональном уровне. Если в субъекте РФ ее не было, разрешалось применять </w:t>
      </w:r>
      <w:r w:rsidRPr="00334432">
        <w:t>форму</w:t>
      </w:r>
      <w:r>
        <w:t xml:space="preserve">, которую рекомендовал Минтруд. </w:t>
      </w:r>
    </w:p>
    <w:p w:rsidR="009B511F" w:rsidRDefault="009B511F" w:rsidP="009B511F">
      <w:pPr>
        <w:ind w:firstLine="540"/>
        <w:jc w:val="both"/>
      </w:pPr>
      <w:r>
        <w:t xml:space="preserve">Напомним, с 4 июля действуют </w:t>
      </w:r>
      <w:r w:rsidRPr="00334432">
        <w:t>новые правила расчета</w:t>
      </w:r>
      <w:r>
        <w:t xml:space="preserve"> среднего заработка для пособия по безработице. </w:t>
      </w:r>
    </w:p>
    <w:p w:rsidR="009B511F" w:rsidRDefault="009B511F" w:rsidP="00334432">
      <w:pPr>
        <w:spacing w:before="240" w:after="0"/>
        <w:ind w:firstLine="540"/>
        <w:jc w:val="center"/>
      </w:pPr>
      <w:r>
        <w:rPr>
          <w:b/>
          <w:bCs/>
        </w:rPr>
        <w:t>Оплату путевок в санаторий не облагают взн</w:t>
      </w:r>
      <w:r w:rsidR="00334432">
        <w:rPr>
          <w:b/>
          <w:bCs/>
        </w:rPr>
        <w:t>осами на травматизм, решил суд</w:t>
      </w:r>
    </w:p>
    <w:p w:rsidR="009B511F" w:rsidRDefault="009B511F" w:rsidP="009B511F">
      <w:pPr>
        <w:ind w:firstLine="540"/>
        <w:jc w:val="both"/>
      </w:pPr>
      <w:r>
        <w:t xml:space="preserve">Организация </w:t>
      </w:r>
      <w:r w:rsidRPr="00334432">
        <w:t>оплачивала путевки</w:t>
      </w:r>
      <w:r>
        <w:t xml:space="preserve"> на санаторно-курортное лечение работников вредных производств и </w:t>
      </w:r>
      <w:proofErr w:type="spellStart"/>
      <w:r>
        <w:t>предпенсионеров</w:t>
      </w:r>
      <w:proofErr w:type="spellEnd"/>
      <w:r>
        <w:t xml:space="preserve">. Такое правило было в коллективном договоре, поэтому взносы на травматизм с этих сумм не платили. Фонд </w:t>
      </w:r>
      <w:r w:rsidRPr="00334432">
        <w:t>решил</w:t>
      </w:r>
      <w:r>
        <w:t xml:space="preserve">, что речь идет о выплате в рамках трудовых отношений и </w:t>
      </w:r>
      <w:proofErr w:type="spellStart"/>
      <w:r>
        <w:t>доначислил</w:t>
      </w:r>
      <w:proofErr w:type="spellEnd"/>
      <w:r>
        <w:t xml:space="preserve"> взносы. АС Волго-Вятского округа поддержал страхователя. </w:t>
      </w:r>
    </w:p>
    <w:p w:rsidR="009B511F" w:rsidRDefault="009B511F" w:rsidP="00334432">
      <w:pPr>
        <w:ind w:firstLine="540"/>
        <w:jc w:val="both"/>
      </w:pPr>
      <w:r>
        <w:t xml:space="preserve">Суд </w:t>
      </w:r>
      <w:r w:rsidRPr="00334432">
        <w:t>указал</w:t>
      </w:r>
      <w:r>
        <w:t>: это выплаты социального характера, а не стимулирующие. Они не зависят от квалификации, сложности, качества и количества работы. Их нельзя считать опл</w:t>
      </w:r>
      <w:r w:rsidR="00334432">
        <w:t>атой труда или вознаграждением (</w:t>
      </w:r>
      <w:r w:rsidRPr="00334432">
        <w:t>Постановление</w:t>
      </w:r>
      <w:r>
        <w:t xml:space="preserve"> АС Волго-Вятского округа от 01.0</w:t>
      </w:r>
      <w:r w:rsidR="00334432">
        <w:t>8.2023 по делу N А43-38092/2022).</w:t>
      </w:r>
    </w:p>
    <w:p w:rsidR="009B511F" w:rsidRDefault="009B511F" w:rsidP="00334432">
      <w:pPr>
        <w:spacing w:before="240" w:after="0"/>
        <w:ind w:firstLine="540"/>
        <w:jc w:val="center"/>
      </w:pPr>
      <w:r>
        <w:rPr>
          <w:b/>
          <w:bCs/>
        </w:rPr>
        <w:t>Иностранная наличность: ЦБ РФ на полгода продлил ограничения на снятие</w:t>
      </w:r>
      <w:r w:rsidR="00334432">
        <w:rPr>
          <w:b/>
          <w:bCs/>
        </w:rPr>
        <w:t xml:space="preserve"> и запрет на комиссию</w:t>
      </w:r>
    </w:p>
    <w:p w:rsidR="009B511F" w:rsidRDefault="009B511F" w:rsidP="009B511F">
      <w:pPr>
        <w:ind w:firstLine="540"/>
        <w:jc w:val="both"/>
      </w:pPr>
      <w:r>
        <w:t xml:space="preserve">Лимиты на выдачу иностранной валюты гражданам и </w:t>
      </w:r>
      <w:proofErr w:type="spellStart"/>
      <w:r>
        <w:t>юрлицам</w:t>
      </w:r>
      <w:proofErr w:type="spellEnd"/>
      <w:r>
        <w:t xml:space="preserve"> Банк России </w:t>
      </w:r>
      <w:r w:rsidRPr="00334432">
        <w:t>сохранил</w:t>
      </w:r>
      <w:r>
        <w:t xml:space="preserve"> до 9 марта 2024 года. Речь идет о снятии денег с любых вкладов или счетов в валюте в том банке, где открыли вклад или счет до 9 марта 2022 года. Лимит на снятие - 10 тыс. долл. США или эквивалент этой суммы в евро. Какая конкретно это иностранная валюта, неважно. Главное, чтобы гражданин не воспользовался этим правом ранее. Остаток </w:t>
      </w:r>
      <w:r w:rsidRPr="00334432">
        <w:t>можно получить</w:t>
      </w:r>
      <w:r>
        <w:t xml:space="preserve"> в рублях. </w:t>
      </w:r>
    </w:p>
    <w:p w:rsidR="009B511F" w:rsidRDefault="009B511F" w:rsidP="009B511F">
      <w:pPr>
        <w:ind w:firstLine="540"/>
        <w:jc w:val="both"/>
      </w:pPr>
      <w:r>
        <w:t xml:space="preserve">Для банков </w:t>
      </w:r>
      <w:r w:rsidRPr="00334432">
        <w:t>продлили</w:t>
      </w:r>
      <w:r>
        <w:t xml:space="preserve"> запрет взимать с граждан комиссию при выдаче валюты со счетов и вкладов. </w:t>
      </w:r>
    </w:p>
    <w:p w:rsidR="009B511F" w:rsidRDefault="009B511F" w:rsidP="009B511F">
      <w:pPr>
        <w:ind w:firstLine="540"/>
        <w:jc w:val="both"/>
      </w:pPr>
      <w:r>
        <w:t xml:space="preserve">Валютные переводы без открытия счета и через электронные кошельки </w:t>
      </w:r>
      <w:r w:rsidRPr="00334432">
        <w:t>продолжают выдавать</w:t>
      </w:r>
      <w:r>
        <w:t xml:space="preserve"> в рублях. </w:t>
      </w:r>
    </w:p>
    <w:p w:rsidR="009B511F" w:rsidRDefault="009B511F" w:rsidP="009B511F">
      <w:pPr>
        <w:ind w:firstLine="540"/>
        <w:jc w:val="both"/>
      </w:pPr>
      <w:r>
        <w:t xml:space="preserve">Организации-резиденты все также </w:t>
      </w:r>
      <w:r w:rsidRPr="00334432">
        <w:t>могут получить</w:t>
      </w:r>
      <w:r>
        <w:t xml:space="preserve"> на командировочные по нормативам оплаты: </w:t>
      </w:r>
    </w:p>
    <w:p w:rsidR="009B511F" w:rsidRDefault="009B511F" w:rsidP="00334432">
      <w:pPr>
        <w:pStyle w:val="a5"/>
        <w:numPr>
          <w:ilvl w:val="0"/>
          <w:numId w:val="22"/>
        </w:numPr>
        <w:ind w:left="709" w:hanging="283"/>
        <w:jc w:val="both"/>
      </w:pPr>
      <w:r>
        <w:t xml:space="preserve">доллары США; </w:t>
      </w:r>
    </w:p>
    <w:p w:rsidR="009B511F" w:rsidRDefault="009B511F" w:rsidP="00334432">
      <w:pPr>
        <w:pStyle w:val="a5"/>
        <w:numPr>
          <w:ilvl w:val="0"/>
          <w:numId w:val="22"/>
        </w:numPr>
        <w:ind w:left="709" w:hanging="283"/>
        <w:jc w:val="both"/>
      </w:pPr>
      <w:r>
        <w:t xml:space="preserve">евро; </w:t>
      </w:r>
    </w:p>
    <w:p w:rsidR="009B511F" w:rsidRDefault="009B511F" w:rsidP="00334432">
      <w:pPr>
        <w:pStyle w:val="a5"/>
        <w:numPr>
          <w:ilvl w:val="0"/>
          <w:numId w:val="22"/>
        </w:numPr>
        <w:ind w:left="709" w:hanging="283"/>
        <w:jc w:val="both"/>
      </w:pPr>
      <w:r>
        <w:t xml:space="preserve">фунты стерлингов; </w:t>
      </w:r>
    </w:p>
    <w:p w:rsidR="009B511F" w:rsidRDefault="009B511F" w:rsidP="00334432">
      <w:pPr>
        <w:pStyle w:val="a5"/>
        <w:numPr>
          <w:ilvl w:val="0"/>
          <w:numId w:val="22"/>
        </w:numPr>
        <w:ind w:left="709" w:hanging="283"/>
        <w:jc w:val="both"/>
      </w:pPr>
      <w:r>
        <w:t xml:space="preserve">японские йены. </w:t>
      </w:r>
    </w:p>
    <w:p w:rsidR="009B511F" w:rsidRDefault="009B511F" w:rsidP="009B511F">
      <w:pPr>
        <w:ind w:firstLine="540"/>
        <w:jc w:val="both"/>
      </w:pPr>
      <w:proofErr w:type="spellStart"/>
      <w:r>
        <w:t>Юрлицам</w:t>
      </w:r>
      <w:proofErr w:type="spellEnd"/>
      <w:r>
        <w:t xml:space="preserve">-нерезидентам наличные в этих валютах </w:t>
      </w:r>
      <w:r w:rsidRPr="00334432">
        <w:t>не выдают</w:t>
      </w:r>
      <w:r>
        <w:t xml:space="preserve">. На другие валюты ограничений нет. </w:t>
      </w:r>
    </w:p>
    <w:p w:rsidR="00B36A83" w:rsidRDefault="00B36A83" w:rsidP="00334432">
      <w:pPr>
        <w:spacing w:before="240" w:after="0"/>
        <w:ind w:firstLine="540"/>
        <w:jc w:val="center"/>
      </w:pPr>
      <w:r>
        <w:rPr>
          <w:b/>
          <w:bCs/>
        </w:rPr>
        <w:lastRenderedPageBreak/>
        <w:t>Минфин рассказал, как отразить налог на сверхприбыль в бухучете и отчетности (22.09.2023)</w:t>
      </w:r>
    </w:p>
    <w:p w:rsidR="00B36A83" w:rsidRDefault="00B36A83" w:rsidP="00B36A83">
      <w:pPr>
        <w:ind w:firstLine="540"/>
        <w:jc w:val="both"/>
      </w:pPr>
      <w:r>
        <w:t xml:space="preserve">Сумму исчисленного налога и сумму перечисленного обеспечительного платежа по нему </w:t>
      </w:r>
      <w:r w:rsidRPr="00334432">
        <w:t>отражают записями 2023 года</w:t>
      </w:r>
      <w:r>
        <w:t xml:space="preserve">: </w:t>
      </w:r>
    </w:p>
    <w:p w:rsidR="00B36A83" w:rsidRDefault="00B36A83" w:rsidP="00334432">
      <w:pPr>
        <w:pStyle w:val="a5"/>
        <w:numPr>
          <w:ilvl w:val="0"/>
          <w:numId w:val="23"/>
        </w:numPr>
        <w:tabs>
          <w:tab w:val="left" w:pos="709"/>
        </w:tabs>
        <w:ind w:left="709" w:hanging="283"/>
        <w:jc w:val="both"/>
      </w:pPr>
      <w:r>
        <w:t xml:space="preserve">дебет 99 кредит 96 - признание оценочного обязательства по уплате налога (в определенной налогоплательщиком сумме); </w:t>
      </w:r>
    </w:p>
    <w:p w:rsidR="00B36A83" w:rsidRDefault="00B36A83" w:rsidP="00334432">
      <w:pPr>
        <w:pStyle w:val="a5"/>
        <w:numPr>
          <w:ilvl w:val="0"/>
          <w:numId w:val="23"/>
        </w:numPr>
        <w:tabs>
          <w:tab w:val="left" w:pos="709"/>
        </w:tabs>
        <w:ind w:left="709" w:hanging="283"/>
        <w:jc w:val="both"/>
      </w:pPr>
      <w:r>
        <w:t xml:space="preserve">дебет 68 кредит 51 - перечисление обеспечительного платежа; </w:t>
      </w:r>
    </w:p>
    <w:p w:rsidR="00B36A83" w:rsidRDefault="00B36A83" w:rsidP="00334432">
      <w:pPr>
        <w:pStyle w:val="a5"/>
        <w:numPr>
          <w:ilvl w:val="0"/>
          <w:numId w:val="23"/>
        </w:numPr>
        <w:tabs>
          <w:tab w:val="left" w:pos="709"/>
        </w:tabs>
        <w:ind w:left="709" w:hanging="283"/>
        <w:jc w:val="both"/>
      </w:pPr>
      <w:r>
        <w:t xml:space="preserve">дебет 99 кредит 96 или дебет 99 кредит 96 методом "красное </w:t>
      </w:r>
      <w:proofErr w:type="spellStart"/>
      <w:r>
        <w:t>сторно</w:t>
      </w:r>
      <w:proofErr w:type="spellEnd"/>
      <w:r>
        <w:t xml:space="preserve">" - изменение размера оценочного обязательства (если нужно). </w:t>
      </w:r>
    </w:p>
    <w:p w:rsidR="00B36A83" w:rsidRDefault="00B36A83" w:rsidP="00B36A83">
      <w:pPr>
        <w:ind w:firstLine="540"/>
        <w:jc w:val="both"/>
      </w:pPr>
      <w:r>
        <w:t xml:space="preserve">Фактические расчеты с бюджетом по налогу </w:t>
      </w:r>
      <w:r w:rsidRPr="00334432">
        <w:t>показывают записями 2024 года</w:t>
      </w:r>
      <w:r>
        <w:t xml:space="preserve">: </w:t>
      </w:r>
    </w:p>
    <w:p w:rsidR="00B36A83" w:rsidRDefault="00B36A83" w:rsidP="00334432">
      <w:pPr>
        <w:pStyle w:val="a5"/>
        <w:numPr>
          <w:ilvl w:val="0"/>
          <w:numId w:val="24"/>
        </w:numPr>
        <w:ind w:left="709" w:hanging="283"/>
        <w:jc w:val="both"/>
      </w:pPr>
      <w:r>
        <w:t xml:space="preserve">дебет 96 кредит 68 - признание обязательства (по декларации); </w:t>
      </w:r>
    </w:p>
    <w:p w:rsidR="00B36A83" w:rsidRDefault="00B36A83" w:rsidP="00334432">
      <w:pPr>
        <w:pStyle w:val="a5"/>
        <w:numPr>
          <w:ilvl w:val="0"/>
          <w:numId w:val="24"/>
        </w:numPr>
        <w:ind w:left="709" w:hanging="283"/>
        <w:jc w:val="both"/>
      </w:pPr>
      <w:r>
        <w:t xml:space="preserve">дебет 68 кредит 68 - признание суммы обеспечительного платежа суммой уплаченного налога; </w:t>
      </w:r>
    </w:p>
    <w:p w:rsidR="00B36A83" w:rsidRDefault="00B36A83" w:rsidP="00334432">
      <w:pPr>
        <w:pStyle w:val="a5"/>
        <w:numPr>
          <w:ilvl w:val="0"/>
          <w:numId w:val="24"/>
        </w:numPr>
        <w:ind w:left="709" w:hanging="283"/>
        <w:jc w:val="both"/>
      </w:pPr>
      <w:r>
        <w:t xml:space="preserve">дебет 68 кредит 51 - уплата налога. </w:t>
      </w:r>
    </w:p>
    <w:p w:rsidR="00B36A83" w:rsidRDefault="00B36A83" w:rsidP="00B36A83">
      <w:pPr>
        <w:ind w:firstLine="540"/>
        <w:jc w:val="both"/>
      </w:pPr>
      <w:r>
        <w:t xml:space="preserve">Оценочное обязательство </w:t>
      </w:r>
      <w:r w:rsidRPr="00334432">
        <w:t>признают</w:t>
      </w:r>
      <w:r>
        <w:t xml:space="preserve"> в величине, которая отражает наиболее достоверную денежную оценку расходов, необходимых для расчетов. Эту величину налогоплательщик определяет с учетом ожидаемой суммы налога, своих намерений на перечисление (</w:t>
      </w:r>
      <w:proofErr w:type="spellStart"/>
      <w:r>
        <w:t>неперечисление</w:t>
      </w:r>
      <w:proofErr w:type="spellEnd"/>
      <w:r>
        <w:t xml:space="preserve">) обеспечительного платежа и реализации права на вычет. </w:t>
      </w:r>
    </w:p>
    <w:p w:rsidR="00B36A83" w:rsidRDefault="00B36A83" w:rsidP="00B36A83">
      <w:pPr>
        <w:ind w:firstLine="540"/>
        <w:jc w:val="both"/>
      </w:pPr>
      <w:r>
        <w:t>При обоснованном изменении намерений и исходя из фактического перечисления (</w:t>
      </w:r>
      <w:proofErr w:type="spellStart"/>
      <w:r>
        <w:t>неперечисления</w:t>
      </w:r>
      <w:proofErr w:type="spellEnd"/>
      <w:r>
        <w:t xml:space="preserve">) обеспечительного платежа величину оценочного обязательства </w:t>
      </w:r>
      <w:r w:rsidRPr="00334432">
        <w:t>можно скорректировать</w:t>
      </w:r>
      <w:r w:rsidR="00334432">
        <w:t xml:space="preserve"> на 31 декабря 2023 года (</w:t>
      </w:r>
      <w:r w:rsidR="00334432">
        <w:t xml:space="preserve">Информационное </w:t>
      </w:r>
      <w:r w:rsidR="00334432" w:rsidRPr="00334432">
        <w:t>сообщение</w:t>
      </w:r>
      <w:r w:rsidR="00334432">
        <w:t xml:space="preserve"> Минфина России от 14.09.2023 N ИС-учет-46</w:t>
      </w:r>
      <w:r w:rsidR="00334432">
        <w:t>).</w:t>
      </w:r>
    </w:p>
    <w:p w:rsidR="00B36A83" w:rsidRDefault="00B36A83" w:rsidP="00B36A83">
      <w:pPr>
        <w:ind w:firstLine="540"/>
        <w:jc w:val="both"/>
      </w:pPr>
      <w:r>
        <w:t xml:space="preserve">В промежуточной </w:t>
      </w:r>
      <w:proofErr w:type="spellStart"/>
      <w:r>
        <w:t>бухотчетности</w:t>
      </w:r>
      <w:proofErr w:type="spellEnd"/>
      <w:r>
        <w:t xml:space="preserve"> за 9 месяцев 2023 года </w:t>
      </w:r>
      <w:r w:rsidRPr="00334432">
        <w:t>отражают</w:t>
      </w:r>
      <w:r>
        <w:t xml:space="preserve">: </w:t>
      </w:r>
    </w:p>
    <w:p w:rsidR="00B36A83" w:rsidRDefault="00B36A83" w:rsidP="00334432">
      <w:pPr>
        <w:pStyle w:val="a5"/>
        <w:numPr>
          <w:ilvl w:val="0"/>
          <w:numId w:val="25"/>
        </w:numPr>
        <w:ind w:left="709" w:hanging="283"/>
        <w:jc w:val="both"/>
      </w:pPr>
      <w:r>
        <w:t xml:space="preserve">величину оценочного обязательства по налогу - в составе оценочных обязательств; </w:t>
      </w:r>
    </w:p>
    <w:p w:rsidR="00B36A83" w:rsidRDefault="00B36A83" w:rsidP="00334432">
      <w:pPr>
        <w:pStyle w:val="a5"/>
        <w:numPr>
          <w:ilvl w:val="0"/>
          <w:numId w:val="25"/>
        </w:numPr>
        <w:ind w:left="709" w:hanging="283"/>
        <w:jc w:val="both"/>
      </w:pPr>
      <w:r>
        <w:t xml:space="preserve">признанную расходом сумму оценочного обязательства - по статье </w:t>
      </w:r>
      <w:r w:rsidRPr="00334432">
        <w:t>"Прочее"</w:t>
      </w:r>
      <w:r>
        <w:t xml:space="preserve"> отчета о </w:t>
      </w:r>
      <w:proofErr w:type="spellStart"/>
      <w:r>
        <w:t>финрезультатах</w:t>
      </w:r>
      <w:proofErr w:type="spellEnd"/>
      <w:r>
        <w:t xml:space="preserve">. </w:t>
      </w:r>
    </w:p>
    <w:p w:rsidR="00B36A83" w:rsidRDefault="00B36A83" w:rsidP="00B36A83">
      <w:pPr>
        <w:ind w:firstLine="540"/>
        <w:jc w:val="both"/>
      </w:pPr>
      <w:r>
        <w:t xml:space="preserve">В годовой </w:t>
      </w:r>
      <w:proofErr w:type="spellStart"/>
      <w:r>
        <w:t>бухотчетности</w:t>
      </w:r>
      <w:proofErr w:type="spellEnd"/>
      <w:r>
        <w:t xml:space="preserve"> за 2023 год </w:t>
      </w:r>
      <w:r w:rsidRPr="00334432">
        <w:t>показывают</w:t>
      </w:r>
      <w:r>
        <w:t xml:space="preserve">: </w:t>
      </w:r>
    </w:p>
    <w:p w:rsidR="00B36A83" w:rsidRDefault="00B36A83" w:rsidP="00334432">
      <w:pPr>
        <w:pStyle w:val="a5"/>
        <w:numPr>
          <w:ilvl w:val="0"/>
          <w:numId w:val="26"/>
        </w:numPr>
        <w:ind w:left="709" w:hanging="283"/>
        <w:jc w:val="both"/>
      </w:pPr>
      <w:r>
        <w:t xml:space="preserve">перечисленный обеспечительный платеж - в составе дебиторской задолженности; </w:t>
      </w:r>
    </w:p>
    <w:p w:rsidR="00B36A83" w:rsidRDefault="00B36A83" w:rsidP="00334432">
      <w:pPr>
        <w:pStyle w:val="a5"/>
        <w:numPr>
          <w:ilvl w:val="0"/>
          <w:numId w:val="26"/>
        </w:numPr>
        <w:ind w:left="709" w:hanging="283"/>
        <w:jc w:val="both"/>
      </w:pPr>
      <w:r>
        <w:t xml:space="preserve">величину оценочного обязательства по налогу - в составе оценочных обязательств; </w:t>
      </w:r>
    </w:p>
    <w:p w:rsidR="00B36A83" w:rsidRDefault="00B36A83" w:rsidP="00334432">
      <w:pPr>
        <w:pStyle w:val="a5"/>
        <w:numPr>
          <w:ilvl w:val="0"/>
          <w:numId w:val="26"/>
        </w:numPr>
        <w:ind w:left="709" w:hanging="283"/>
        <w:jc w:val="both"/>
      </w:pPr>
      <w:r>
        <w:t xml:space="preserve">признанную расходом сумму оценочного обязательства - по статье </w:t>
      </w:r>
      <w:r w:rsidRPr="00334432">
        <w:t>"Прочее"</w:t>
      </w:r>
      <w:r w:rsidR="00334432">
        <w:t xml:space="preserve"> отчета о </w:t>
      </w:r>
      <w:proofErr w:type="spellStart"/>
      <w:r w:rsidR="00334432">
        <w:t>финрезультатах</w:t>
      </w:r>
      <w:proofErr w:type="spellEnd"/>
      <w:r w:rsidR="00334432">
        <w:t>.</w:t>
      </w:r>
    </w:p>
    <w:p w:rsidR="00B36A83" w:rsidRDefault="00B36A83" w:rsidP="00334432">
      <w:pPr>
        <w:spacing w:before="240" w:after="0"/>
        <w:ind w:firstLine="540"/>
        <w:jc w:val="center"/>
      </w:pPr>
      <w:r>
        <w:rPr>
          <w:b/>
          <w:bCs/>
        </w:rPr>
        <w:t>ФНС утвердила форму уведомления для расчета земельного нал</w:t>
      </w:r>
      <w:r w:rsidR="00334432">
        <w:rPr>
          <w:b/>
          <w:bCs/>
        </w:rPr>
        <w:t>ога по некоторым видам участков</w:t>
      </w:r>
    </w:p>
    <w:p w:rsidR="00B36A83" w:rsidRDefault="00B36A83" w:rsidP="00B36A83">
      <w:pPr>
        <w:ind w:firstLine="540"/>
        <w:jc w:val="both"/>
      </w:pPr>
      <w:r>
        <w:t xml:space="preserve">Опубликовали приказ с </w:t>
      </w:r>
      <w:r w:rsidRPr="00334432">
        <w:t>формой уведомления</w:t>
      </w:r>
      <w:r>
        <w:t xml:space="preserve">. В ней, среди прочего, </w:t>
      </w:r>
      <w:r w:rsidRPr="00334432">
        <w:t>нужно отразить</w:t>
      </w:r>
      <w:r w:rsidR="00334432">
        <w:t xml:space="preserve"> </w:t>
      </w:r>
      <w:r>
        <w:t xml:space="preserve">сведения о кадастровом, инвентарном или ином номере находящегося на участке объекта: </w:t>
      </w:r>
    </w:p>
    <w:p w:rsidR="00B36A83" w:rsidRDefault="00B36A83" w:rsidP="00334432">
      <w:pPr>
        <w:pStyle w:val="a5"/>
        <w:numPr>
          <w:ilvl w:val="0"/>
          <w:numId w:val="27"/>
        </w:numPr>
        <w:ind w:left="709" w:hanging="283"/>
        <w:jc w:val="both"/>
      </w:pPr>
      <w:r>
        <w:t xml:space="preserve">жилфонда; </w:t>
      </w:r>
    </w:p>
    <w:p w:rsidR="00B36A83" w:rsidRDefault="00B36A83" w:rsidP="00334432">
      <w:pPr>
        <w:pStyle w:val="a5"/>
        <w:numPr>
          <w:ilvl w:val="0"/>
          <w:numId w:val="27"/>
        </w:numPr>
        <w:ind w:left="709" w:hanging="283"/>
        <w:jc w:val="both"/>
      </w:pPr>
      <w:r>
        <w:t xml:space="preserve">инженерной инфраструктуры жилищно-коммунального комплекса; </w:t>
      </w:r>
    </w:p>
    <w:p w:rsidR="00B36A83" w:rsidRDefault="00B36A83" w:rsidP="00334432">
      <w:pPr>
        <w:pStyle w:val="a5"/>
        <w:numPr>
          <w:ilvl w:val="0"/>
          <w:numId w:val="27"/>
        </w:numPr>
        <w:ind w:left="709" w:hanging="283"/>
        <w:jc w:val="both"/>
      </w:pPr>
      <w:r>
        <w:t xml:space="preserve">недвижимости, которая не относится к указанным выше объектам. По такой недвижимости </w:t>
      </w:r>
      <w:r w:rsidRPr="00334432">
        <w:t>приводят</w:t>
      </w:r>
      <w:r w:rsidR="00334432">
        <w:t xml:space="preserve"> </w:t>
      </w:r>
      <w:r>
        <w:t xml:space="preserve">площадь участка, которую она занимает. </w:t>
      </w:r>
    </w:p>
    <w:p w:rsidR="009B511F" w:rsidRDefault="00B36A83" w:rsidP="00334432">
      <w:pPr>
        <w:ind w:firstLine="540"/>
        <w:jc w:val="both"/>
      </w:pPr>
      <w:r>
        <w:t xml:space="preserve">Документ предусматривает также </w:t>
      </w:r>
      <w:r w:rsidRPr="00334432">
        <w:t>порядок заполнения</w:t>
      </w:r>
      <w:r>
        <w:t xml:space="preserve"> и </w:t>
      </w:r>
      <w:r w:rsidRPr="00334432">
        <w:t>формат представления</w:t>
      </w:r>
      <w:r>
        <w:t xml:space="preserve"> уведомления. Приказ вступает в силу </w:t>
      </w:r>
      <w:r w:rsidRPr="00334432">
        <w:t>с 1 января 2024 года</w:t>
      </w:r>
      <w:r w:rsidR="00334432">
        <w:t xml:space="preserve"> (Приказ </w:t>
      </w:r>
      <w:r>
        <w:t>ФНС Росс</w:t>
      </w:r>
      <w:r w:rsidR="00334432">
        <w:t>ии от 16.08.2023 N ЕД-7-21/546@).</w:t>
      </w:r>
    </w:p>
    <w:sectPr w:rsidR="009B51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9D" w:rsidRDefault="00D17C9D" w:rsidP="00D17C9D">
      <w:pPr>
        <w:spacing w:after="0" w:line="240" w:lineRule="auto"/>
      </w:pPr>
      <w:r>
        <w:separator/>
      </w:r>
    </w:p>
  </w:endnote>
  <w:endnote w:type="continuationSeparator" w:id="0">
    <w:p w:rsidR="00D17C9D" w:rsidRDefault="00D17C9D" w:rsidP="00D1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570876"/>
      <w:docPartObj>
        <w:docPartGallery w:val="Page Numbers (Bottom of Page)"/>
        <w:docPartUnique/>
      </w:docPartObj>
    </w:sdtPr>
    <w:sdtContent>
      <w:p w:rsidR="00D17C9D" w:rsidRDefault="00D17C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7C9D" w:rsidRDefault="00D17C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9D" w:rsidRDefault="00D17C9D" w:rsidP="00D17C9D">
      <w:pPr>
        <w:spacing w:after="0" w:line="240" w:lineRule="auto"/>
      </w:pPr>
      <w:r>
        <w:separator/>
      </w:r>
    </w:p>
  </w:footnote>
  <w:footnote w:type="continuationSeparator" w:id="0">
    <w:p w:rsidR="00D17C9D" w:rsidRDefault="00D17C9D" w:rsidP="00D1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1D5"/>
    <w:multiLevelType w:val="multilevel"/>
    <w:tmpl w:val="E63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E61D1"/>
    <w:multiLevelType w:val="hybridMultilevel"/>
    <w:tmpl w:val="CB68CD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34524FE"/>
    <w:multiLevelType w:val="hybridMultilevel"/>
    <w:tmpl w:val="D5D606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076679"/>
    <w:multiLevelType w:val="hybridMultilevel"/>
    <w:tmpl w:val="18A843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8F7D89"/>
    <w:multiLevelType w:val="hybridMultilevel"/>
    <w:tmpl w:val="7ACC86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C30713"/>
    <w:multiLevelType w:val="hybridMultilevel"/>
    <w:tmpl w:val="3CA63E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526463"/>
    <w:multiLevelType w:val="hybridMultilevel"/>
    <w:tmpl w:val="FCE6C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9794019"/>
    <w:multiLevelType w:val="hybridMultilevel"/>
    <w:tmpl w:val="66961F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AC15B03"/>
    <w:multiLevelType w:val="hybridMultilevel"/>
    <w:tmpl w:val="A13602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E2453E6"/>
    <w:multiLevelType w:val="hybridMultilevel"/>
    <w:tmpl w:val="C060A13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881A5A"/>
    <w:multiLevelType w:val="multilevel"/>
    <w:tmpl w:val="6244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B448A"/>
    <w:multiLevelType w:val="hybridMultilevel"/>
    <w:tmpl w:val="6CDCC3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803C74"/>
    <w:multiLevelType w:val="hybridMultilevel"/>
    <w:tmpl w:val="E804A8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15A23CE"/>
    <w:multiLevelType w:val="hybridMultilevel"/>
    <w:tmpl w:val="B81236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A5778B5"/>
    <w:multiLevelType w:val="hybridMultilevel"/>
    <w:tmpl w:val="35F8C6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D0E33AE"/>
    <w:multiLevelType w:val="hybridMultilevel"/>
    <w:tmpl w:val="D08C40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FE52F2D"/>
    <w:multiLevelType w:val="hybridMultilevel"/>
    <w:tmpl w:val="041038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1F424E"/>
    <w:multiLevelType w:val="hybridMultilevel"/>
    <w:tmpl w:val="CB7E4D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25C2D30"/>
    <w:multiLevelType w:val="hybridMultilevel"/>
    <w:tmpl w:val="7FA8C9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1E7D11"/>
    <w:multiLevelType w:val="hybridMultilevel"/>
    <w:tmpl w:val="A8DEC9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D202F32"/>
    <w:multiLevelType w:val="hybridMultilevel"/>
    <w:tmpl w:val="86168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ECB2716"/>
    <w:multiLevelType w:val="hybridMultilevel"/>
    <w:tmpl w:val="473C2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EDF22EA"/>
    <w:multiLevelType w:val="hybridMultilevel"/>
    <w:tmpl w:val="567A17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ED7B0C"/>
    <w:multiLevelType w:val="hybridMultilevel"/>
    <w:tmpl w:val="B454B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1785D"/>
    <w:multiLevelType w:val="hybridMultilevel"/>
    <w:tmpl w:val="B0EE0E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8300CE9"/>
    <w:multiLevelType w:val="hybridMultilevel"/>
    <w:tmpl w:val="E2602B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B067533"/>
    <w:multiLevelType w:val="multilevel"/>
    <w:tmpl w:val="D07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3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18"/>
  </w:num>
  <w:num w:numId="10">
    <w:abstractNumId w:val="14"/>
  </w:num>
  <w:num w:numId="11">
    <w:abstractNumId w:val="1"/>
  </w:num>
  <w:num w:numId="12">
    <w:abstractNumId w:val="16"/>
  </w:num>
  <w:num w:numId="13">
    <w:abstractNumId w:val="24"/>
  </w:num>
  <w:num w:numId="14">
    <w:abstractNumId w:val="19"/>
  </w:num>
  <w:num w:numId="15">
    <w:abstractNumId w:val="22"/>
  </w:num>
  <w:num w:numId="16">
    <w:abstractNumId w:val="11"/>
  </w:num>
  <w:num w:numId="17">
    <w:abstractNumId w:val="5"/>
  </w:num>
  <w:num w:numId="18">
    <w:abstractNumId w:val="9"/>
  </w:num>
  <w:num w:numId="19">
    <w:abstractNumId w:val="15"/>
  </w:num>
  <w:num w:numId="20">
    <w:abstractNumId w:val="20"/>
  </w:num>
  <w:num w:numId="21">
    <w:abstractNumId w:val="21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5"/>
    <w:rsid w:val="000966A6"/>
    <w:rsid w:val="000A6051"/>
    <w:rsid w:val="0012603E"/>
    <w:rsid w:val="00140F40"/>
    <w:rsid w:val="00160B41"/>
    <w:rsid w:val="001B4E94"/>
    <w:rsid w:val="001D0937"/>
    <w:rsid w:val="00241A5C"/>
    <w:rsid w:val="00254310"/>
    <w:rsid w:val="002C292F"/>
    <w:rsid w:val="00334432"/>
    <w:rsid w:val="003923BE"/>
    <w:rsid w:val="003A5913"/>
    <w:rsid w:val="00420B58"/>
    <w:rsid w:val="004248FA"/>
    <w:rsid w:val="005017C5"/>
    <w:rsid w:val="0064682B"/>
    <w:rsid w:val="0065769D"/>
    <w:rsid w:val="00670903"/>
    <w:rsid w:val="0071262E"/>
    <w:rsid w:val="007351C0"/>
    <w:rsid w:val="007D0A95"/>
    <w:rsid w:val="008502CA"/>
    <w:rsid w:val="00887402"/>
    <w:rsid w:val="009006F9"/>
    <w:rsid w:val="009367E9"/>
    <w:rsid w:val="00967F4E"/>
    <w:rsid w:val="009B511F"/>
    <w:rsid w:val="00A24C34"/>
    <w:rsid w:val="00A26D6B"/>
    <w:rsid w:val="00B00D35"/>
    <w:rsid w:val="00B03AA8"/>
    <w:rsid w:val="00B36A83"/>
    <w:rsid w:val="00BC3AD4"/>
    <w:rsid w:val="00C229B3"/>
    <w:rsid w:val="00CF16EB"/>
    <w:rsid w:val="00D17C9D"/>
    <w:rsid w:val="00D55F8C"/>
    <w:rsid w:val="00D63192"/>
    <w:rsid w:val="00D90CA9"/>
    <w:rsid w:val="00DB245C"/>
    <w:rsid w:val="00E1071D"/>
    <w:rsid w:val="00EC74A1"/>
    <w:rsid w:val="00F16E92"/>
    <w:rsid w:val="00F674CC"/>
    <w:rsid w:val="00F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D1F9"/>
  <w15:chartTrackingRefBased/>
  <w15:docId w15:val="{21452101-E7A1-45CF-9549-EFD230FB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9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4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C9D"/>
  </w:style>
  <w:style w:type="paragraph" w:styleId="a8">
    <w:name w:val="footer"/>
    <w:basedOn w:val="a"/>
    <w:link w:val="a9"/>
    <w:uiPriority w:val="99"/>
    <w:unhideWhenUsed/>
    <w:rsid w:val="00D1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4B9A-CF05-417E-9C66-9E7CC9CF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консалтинг</dc:creator>
  <cp:keywords/>
  <dc:description/>
  <cp:lastModifiedBy>Потеряхина Полина Дмитриевна</cp:lastModifiedBy>
  <cp:revision>10</cp:revision>
  <dcterms:created xsi:type="dcterms:W3CDTF">2023-10-02T09:07:00Z</dcterms:created>
  <dcterms:modified xsi:type="dcterms:W3CDTF">2023-10-02T09:48:00Z</dcterms:modified>
</cp:coreProperties>
</file>